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49920" w14:textId="7826396F" w:rsidR="0017390B" w:rsidRPr="008233EA" w:rsidRDefault="005F7936" w:rsidP="005F7936">
      <w:pPr>
        <w:pStyle w:val="Standard"/>
        <w:spacing w:after="0"/>
        <w:rPr>
          <w:rStyle w:val="jsgrdq"/>
          <w:rFonts w:ascii="Verdana" w:hAnsi="Verdana"/>
          <w:color w:val="279097"/>
          <w:sz w:val="32"/>
          <w:szCs w:val="32"/>
        </w:rPr>
      </w:pPr>
      <w:r w:rsidRPr="008233EA">
        <w:rPr>
          <w:rStyle w:val="jsgrdq"/>
          <w:rFonts w:ascii="Verdana" w:hAnsi="Verdana"/>
          <w:color w:val="279097"/>
          <w:sz w:val="32"/>
          <w:szCs w:val="32"/>
        </w:rPr>
        <w:t xml:space="preserve">        </w:t>
      </w:r>
    </w:p>
    <w:p w14:paraId="4EE9943C" w14:textId="77777777" w:rsidR="0065273F" w:rsidRPr="008233EA" w:rsidRDefault="0065273F" w:rsidP="0065273F">
      <w:pPr>
        <w:pStyle w:val="Corpsdetexte"/>
        <w:jc w:val="center"/>
        <w:rPr>
          <w:rStyle w:val="jsgrdq"/>
          <w:i w:val="0"/>
          <w:iCs w:val="0"/>
          <w:color w:val="279097"/>
          <w:sz w:val="36"/>
          <w:szCs w:val="36"/>
        </w:rPr>
      </w:pPr>
      <w:r w:rsidRPr="008233EA">
        <w:rPr>
          <w:rStyle w:val="jsgrdq"/>
          <w:i w:val="0"/>
          <w:iCs w:val="0"/>
          <w:color w:val="279097"/>
          <w:sz w:val="36"/>
          <w:szCs w:val="36"/>
        </w:rPr>
        <w:t>CABINET ÉCO-RESPONSABLE</w:t>
      </w:r>
    </w:p>
    <w:p w14:paraId="3F4DFD73" w14:textId="77777777" w:rsidR="00467378" w:rsidRPr="008233EA" w:rsidRDefault="0065273F" w:rsidP="0065273F">
      <w:pPr>
        <w:pStyle w:val="Corpsdetexte"/>
        <w:jc w:val="center"/>
        <w:rPr>
          <w:rStyle w:val="jsgrdq"/>
          <w:i w:val="0"/>
          <w:iCs w:val="0"/>
          <w:color w:val="279097"/>
          <w:sz w:val="36"/>
          <w:szCs w:val="36"/>
        </w:rPr>
      </w:pPr>
      <w:r w:rsidRPr="008233EA">
        <w:rPr>
          <w:rStyle w:val="jsgrdq"/>
          <w:i w:val="0"/>
          <w:iCs w:val="0"/>
          <w:color w:val="279097"/>
          <w:sz w:val="36"/>
          <w:szCs w:val="36"/>
        </w:rPr>
        <w:t>Gestion des déchets au cabinet dentaire</w:t>
      </w:r>
    </w:p>
    <w:p w14:paraId="19535C42" w14:textId="36FD6F1F" w:rsidR="0017390B" w:rsidRPr="008233EA" w:rsidRDefault="00467378" w:rsidP="00467378">
      <w:pPr>
        <w:pStyle w:val="Corpsdetexte"/>
        <w:jc w:val="center"/>
        <w:rPr>
          <w:rStyle w:val="jsgrdq"/>
          <w:i w:val="0"/>
          <w:iCs w:val="0"/>
          <w:color w:val="279097"/>
          <w:sz w:val="36"/>
          <w:szCs w:val="36"/>
        </w:rPr>
      </w:pPr>
      <w:r w:rsidRPr="008233EA">
        <w:rPr>
          <w:noProof/>
        </w:rPr>
        <w:drawing>
          <wp:inline distT="0" distB="0" distL="0" distR="0" wp14:anchorId="74EA5F73" wp14:editId="5E5CBB3B">
            <wp:extent cx="1367406" cy="967399"/>
            <wp:effectExtent l="0" t="0" r="4445" b="4445"/>
            <wp:docPr id="1625651029" name="Image 1625651029"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Graphiqu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5933" cy="973432"/>
                    </a:xfrm>
                    <a:prstGeom prst="rect">
                      <a:avLst/>
                    </a:prstGeom>
                    <a:noFill/>
                    <a:ln>
                      <a:noFill/>
                    </a:ln>
                  </pic:spPr>
                </pic:pic>
              </a:graphicData>
            </a:graphic>
          </wp:inline>
        </w:drawing>
      </w:r>
      <w:r w:rsidR="0065273F" w:rsidRPr="008233EA">
        <w:rPr>
          <w:rStyle w:val="jsgrdq"/>
          <w:i w:val="0"/>
          <w:iCs w:val="0"/>
          <w:color w:val="279097"/>
          <w:sz w:val="36"/>
          <w:szCs w:val="36"/>
        </w:rPr>
        <w:t xml:space="preserve"> </w:t>
      </w:r>
    </w:p>
    <w:p w14:paraId="622CDBFF" w14:textId="58A8F210" w:rsidR="0017390B" w:rsidRPr="008233EA" w:rsidRDefault="0017390B" w:rsidP="0017390B">
      <w:pPr>
        <w:pStyle w:val="Standard"/>
        <w:spacing w:after="0"/>
        <w:rPr>
          <w:rStyle w:val="jsgrdq"/>
          <w:rFonts w:ascii="Verdana" w:hAnsi="Verdana"/>
          <w:b/>
          <w:bCs/>
          <w:color w:val="279097"/>
          <w:sz w:val="24"/>
          <w:szCs w:val="24"/>
        </w:rPr>
      </w:pPr>
      <w:r w:rsidRPr="008233EA">
        <w:rPr>
          <w:rStyle w:val="jsgrdq"/>
          <w:rFonts w:ascii="Verdana" w:hAnsi="Verdana"/>
          <w:b/>
          <w:bCs/>
          <w:color w:val="279097"/>
          <w:sz w:val="24"/>
          <w:szCs w:val="24"/>
        </w:rPr>
        <w:t>Obligation légale</w:t>
      </w:r>
    </w:p>
    <w:p w14:paraId="645B3797" w14:textId="77777777" w:rsidR="0017390B" w:rsidRPr="008233EA" w:rsidRDefault="0017390B" w:rsidP="0017390B">
      <w:pPr>
        <w:pStyle w:val="Standard"/>
        <w:spacing w:after="0"/>
        <w:rPr>
          <w:rStyle w:val="jsgrdq"/>
          <w:rFonts w:ascii="Verdana" w:hAnsi="Verdana"/>
          <w:color w:val="279097"/>
          <w:sz w:val="16"/>
          <w:szCs w:val="16"/>
        </w:rPr>
      </w:pPr>
    </w:p>
    <w:p w14:paraId="540162A6" w14:textId="77777777" w:rsidR="00477726" w:rsidRPr="008233EA" w:rsidRDefault="0017390B" w:rsidP="00477726">
      <w:pPr>
        <w:pStyle w:val="Standard"/>
        <w:spacing w:after="0"/>
        <w:jc w:val="both"/>
        <w:rPr>
          <w:rStyle w:val="jsgrdq"/>
          <w:rFonts w:ascii="Verdana" w:hAnsi="Verdana"/>
          <w:color w:val="7F7F7F" w:themeColor="text1" w:themeTint="80"/>
          <w:sz w:val="12"/>
          <w:szCs w:val="12"/>
        </w:rPr>
      </w:pPr>
      <w:r w:rsidRPr="008233EA">
        <w:rPr>
          <w:rStyle w:val="jsgrdq"/>
          <w:rFonts w:ascii="Verdana" w:hAnsi="Verdana"/>
          <w:color w:val="7F7F7F" w:themeColor="text1" w:themeTint="80"/>
          <w:sz w:val="16"/>
          <w:szCs w:val="16"/>
        </w:rPr>
        <w:t xml:space="preserve">Toute personne qui produit les déchets définis au Code de la santé publique est tenue de les éliminer </w:t>
      </w:r>
      <w:r w:rsidRPr="008233EA">
        <w:rPr>
          <w:rStyle w:val="jsgrdq"/>
          <w:rFonts w:ascii="Verdana" w:hAnsi="Verdana"/>
          <w:color w:val="7F7F7F" w:themeColor="text1" w:themeTint="80"/>
          <w:sz w:val="12"/>
          <w:szCs w:val="12"/>
        </w:rPr>
        <w:t xml:space="preserve">(articles R. 1335-1 et suivants du Code de la santé publique). </w:t>
      </w:r>
    </w:p>
    <w:p w14:paraId="4CB0C57A" w14:textId="77777777" w:rsidR="00BD524B" w:rsidRPr="008233EA" w:rsidRDefault="00BD524B" w:rsidP="00477726">
      <w:pPr>
        <w:pStyle w:val="Standard"/>
        <w:spacing w:after="0"/>
        <w:jc w:val="both"/>
        <w:rPr>
          <w:rStyle w:val="jsgrdq"/>
          <w:rFonts w:ascii="Verdana" w:hAnsi="Verdana"/>
          <w:color w:val="7F7F7F" w:themeColor="text1" w:themeTint="80"/>
          <w:sz w:val="12"/>
          <w:szCs w:val="12"/>
        </w:rPr>
      </w:pPr>
    </w:p>
    <w:p w14:paraId="00792A6C" w14:textId="2D343CE0" w:rsidR="0017390B" w:rsidRPr="008233EA" w:rsidRDefault="0017390B" w:rsidP="00477726">
      <w:pPr>
        <w:pStyle w:val="Standard"/>
        <w:spacing w:after="0"/>
        <w:jc w:val="both"/>
        <w:rPr>
          <w:rStyle w:val="jsgrdq"/>
          <w:rFonts w:ascii="Verdana" w:hAnsi="Verdana"/>
          <w:color w:val="279097"/>
          <w:sz w:val="16"/>
          <w:szCs w:val="16"/>
        </w:rPr>
      </w:pPr>
      <w:r w:rsidRPr="008233EA">
        <w:rPr>
          <w:rStyle w:val="jsgrdq"/>
          <w:rFonts w:ascii="Verdana" w:hAnsi="Verdana"/>
          <w:color w:val="279097"/>
          <w:sz w:val="16"/>
          <w:szCs w:val="16"/>
        </w:rPr>
        <w:t>L'article</w:t>
      </w:r>
      <w:r w:rsidR="00477726" w:rsidRPr="008233EA">
        <w:rPr>
          <w:rStyle w:val="jsgrdq"/>
          <w:rFonts w:ascii="Verdana" w:hAnsi="Verdana"/>
          <w:color w:val="279097"/>
          <w:sz w:val="16"/>
          <w:szCs w:val="16"/>
        </w:rPr>
        <w:t xml:space="preserve"> </w:t>
      </w:r>
      <w:r w:rsidRPr="008233EA">
        <w:rPr>
          <w:rStyle w:val="jsgrdq"/>
          <w:rFonts w:ascii="Verdana" w:hAnsi="Verdana"/>
          <w:color w:val="279097"/>
          <w:sz w:val="16"/>
          <w:szCs w:val="16"/>
        </w:rPr>
        <w:t xml:space="preserve">R. 4127-269 du code de la santé publique impose à tout </w:t>
      </w:r>
      <w:r w:rsidR="00477726" w:rsidRPr="008233EA">
        <w:rPr>
          <w:rStyle w:val="jsgrdq"/>
          <w:rFonts w:ascii="Verdana" w:hAnsi="Verdana"/>
          <w:color w:val="279097"/>
          <w:sz w:val="16"/>
          <w:szCs w:val="16"/>
        </w:rPr>
        <w:t>chirurgien-dentiste</w:t>
      </w:r>
      <w:r w:rsidRPr="008233EA">
        <w:rPr>
          <w:rStyle w:val="jsgrdq"/>
          <w:rFonts w:ascii="Verdana" w:hAnsi="Verdana"/>
          <w:color w:val="279097"/>
          <w:sz w:val="16"/>
          <w:szCs w:val="16"/>
        </w:rPr>
        <w:t xml:space="preserve"> d'assurer la</w:t>
      </w:r>
      <w:r w:rsidR="00477726" w:rsidRPr="008233EA">
        <w:rPr>
          <w:rStyle w:val="jsgrdq"/>
          <w:rFonts w:ascii="Verdana" w:hAnsi="Verdana"/>
          <w:color w:val="279097"/>
          <w:sz w:val="16"/>
          <w:szCs w:val="16"/>
        </w:rPr>
        <w:t xml:space="preserve"> </w:t>
      </w:r>
      <w:r w:rsidRPr="008233EA">
        <w:rPr>
          <w:rStyle w:val="jsgrdq"/>
          <w:rFonts w:ascii="Verdana" w:hAnsi="Verdana"/>
          <w:color w:val="279097"/>
          <w:sz w:val="16"/>
          <w:szCs w:val="16"/>
        </w:rPr>
        <w:t>gestion des déchets issus de son activité de soin dans le respect de la réglementation</w:t>
      </w:r>
      <w:r w:rsidR="00BD524B" w:rsidRPr="008233EA">
        <w:rPr>
          <w:rStyle w:val="jsgrdq"/>
          <w:rFonts w:ascii="Verdana" w:hAnsi="Verdana"/>
          <w:color w:val="279097"/>
          <w:sz w:val="16"/>
          <w:szCs w:val="16"/>
        </w:rPr>
        <w:t xml:space="preserve"> </w:t>
      </w:r>
      <w:r w:rsidRPr="008233EA">
        <w:rPr>
          <w:rStyle w:val="jsgrdq"/>
          <w:rFonts w:ascii="Verdana" w:hAnsi="Verdana"/>
          <w:color w:val="279097"/>
          <w:sz w:val="16"/>
          <w:szCs w:val="16"/>
        </w:rPr>
        <w:t>en vigueur.</w:t>
      </w:r>
    </w:p>
    <w:p w14:paraId="435D283B" w14:textId="77777777" w:rsidR="0017390B" w:rsidRPr="008233EA" w:rsidRDefault="0017390B" w:rsidP="00477726">
      <w:pPr>
        <w:pStyle w:val="Standard"/>
        <w:spacing w:after="0"/>
        <w:jc w:val="both"/>
        <w:rPr>
          <w:rStyle w:val="jsgrdq"/>
          <w:rFonts w:ascii="Verdana" w:hAnsi="Verdana"/>
          <w:color w:val="7F7F7F" w:themeColor="text1" w:themeTint="80"/>
          <w:sz w:val="16"/>
          <w:szCs w:val="16"/>
        </w:rPr>
      </w:pPr>
    </w:p>
    <w:p w14:paraId="5269A8E6" w14:textId="5FB023F7" w:rsidR="0017390B" w:rsidRPr="008233EA" w:rsidRDefault="0017390B" w:rsidP="00477726">
      <w:pPr>
        <w:pStyle w:val="Standard"/>
        <w:spacing w:after="0"/>
        <w:jc w:val="both"/>
        <w:rPr>
          <w:rStyle w:val="jsgrdq"/>
          <w:rFonts w:ascii="Verdana" w:hAnsi="Verdana"/>
          <w:color w:val="7F7F7F" w:themeColor="text1" w:themeTint="80"/>
          <w:sz w:val="16"/>
          <w:szCs w:val="16"/>
        </w:rPr>
      </w:pPr>
      <w:r w:rsidRPr="008233EA">
        <w:rPr>
          <w:rStyle w:val="jsgrdq"/>
          <w:rFonts w:ascii="Verdana" w:hAnsi="Verdana"/>
          <w:color w:val="279097"/>
          <w:sz w:val="16"/>
          <w:szCs w:val="16"/>
        </w:rPr>
        <w:t>Un contrat de collecte doit être signé avec un collecteur-transporteur agréé</w:t>
      </w:r>
      <w:r w:rsidRPr="008233EA">
        <w:rPr>
          <w:rStyle w:val="jsgrdq"/>
          <w:rFonts w:ascii="Verdana" w:hAnsi="Verdana"/>
          <w:color w:val="7F7F7F" w:themeColor="text1" w:themeTint="80"/>
          <w:sz w:val="16"/>
          <w:szCs w:val="16"/>
        </w:rPr>
        <w:t xml:space="preserve"> pour les</w:t>
      </w:r>
      <w:r w:rsidR="00BD524B" w:rsidRPr="008233EA">
        <w:rPr>
          <w:rStyle w:val="jsgrdq"/>
          <w:rFonts w:ascii="Verdana" w:hAnsi="Verdana"/>
          <w:color w:val="7F7F7F" w:themeColor="text1" w:themeTint="80"/>
          <w:sz w:val="16"/>
          <w:szCs w:val="16"/>
        </w:rPr>
        <w:t xml:space="preserve"> </w:t>
      </w:r>
      <w:r w:rsidRPr="008233EA">
        <w:rPr>
          <w:rStyle w:val="jsgrdq"/>
          <w:rFonts w:ascii="Verdana" w:hAnsi="Verdana"/>
          <w:color w:val="7F7F7F" w:themeColor="text1" w:themeTint="80"/>
          <w:sz w:val="16"/>
          <w:szCs w:val="16"/>
        </w:rPr>
        <w:t>déchets à risques et un autre pour le recyclage des déchets d'amalgames et doit être</w:t>
      </w:r>
      <w:r w:rsidR="00BD524B" w:rsidRPr="008233EA">
        <w:rPr>
          <w:rStyle w:val="jsgrdq"/>
          <w:rFonts w:ascii="Verdana" w:hAnsi="Verdana"/>
          <w:color w:val="7F7F7F" w:themeColor="text1" w:themeTint="80"/>
          <w:sz w:val="16"/>
          <w:szCs w:val="16"/>
        </w:rPr>
        <w:t xml:space="preserve"> </w:t>
      </w:r>
      <w:r w:rsidRPr="008233EA">
        <w:rPr>
          <w:rStyle w:val="jsgrdq"/>
          <w:rFonts w:ascii="Verdana" w:hAnsi="Verdana"/>
          <w:color w:val="7F7F7F" w:themeColor="text1" w:themeTint="80"/>
          <w:sz w:val="16"/>
          <w:szCs w:val="16"/>
        </w:rPr>
        <w:t>tenu à la disposition des DDASS et du conseil de l'</w:t>
      </w:r>
      <w:r w:rsidR="00BD524B" w:rsidRPr="008233EA">
        <w:rPr>
          <w:rStyle w:val="jsgrdq"/>
          <w:rFonts w:ascii="Verdana" w:hAnsi="Verdana"/>
          <w:color w:val="7F7F7F" w:themeColor="text1" w:themeTint="80"/>
          <w:sz w:val="16"/>
          <w:szCs w:val="16"/>
        </w:rPr>
        <w:t>O</w:t>
      </w:r>
      <w:r w:rsidRPr="008233EA">
        <w:rPr>
          <w:rStyle w:val="jsgrdq"/>
          <w:rFonts w:ascii="Verdana" w:hAnsi="Verdana"/>
          <w:color w:val="7F7F7F" w:themeColor="text1" w:themeTint="80"/>
          <w:sz w:val="16"/>
          <w:szCs w:val="16"/>
        </w:rPr>
        <w:t>rdre, DGCCRF, médecin du travail.</w:t>
      </w:r>
    </w:p>
    <w:p w14:paraId="3A8154E6" w14:textId="77777777" w:rsidR="0017390B" w:rsidRPr="008233EA" w:rsidRDefault="0017390B" w:rsidP="00477726">
      <w:pPr>
        <w:pStyle w:val="Standard"/>
        <w:spacing w:after="0"/>
        <w:jc w:val="both"/>
        <w:rPr>
          <w:rStyle w:val="jsgrdq"/>
          <w:rFonts w:ascii="Verdana" w:hAnsi="Verdana"/>
          <w:color w:val="7F7F7F" w:themeColor="text1" w:themeTint="80"/>
          <w:sz w:val="16"/>
          <w:szCs w:val="16"/>
        </w:rPr>
      </w:pPr>
    </w:p>
    <w:p w14:paraId="594E0E90" w14:textId="566FF92A" w:rsidR="0017390B" w:rsidRPr="008233EA" w:rsidRDefault="0017390B" w:rsidP="00477726">
      <w:pPr>
        <w:pStyle w:val="Standard"/>
        <w:spacing w:after="0"/>
        <w:jc w:val="both"/>
        <w:rPr>
          <w:rStyle w:val="jsgrdq"/>
          <w:rFonts w:ascii="Verdana" w:hAnsi="Verdana"/>
          <w:color w:val="7F7F7F" w:themeColor="text1" w:themeTint="80"/>
          <w:sz w:val="16"/>
          <w:szCs w:val="16"/>
        </w:rPr>
      </w:pPr>
      <w:r w:rsidRPr="008233EA">
        <w:rPr>
          <w:rStyle w:val="jsgrdq"/>
          <w:rFonts w:ascii="Verdana" w:hAnsi="Verdana"/>
          <w:color w:val="279097"/>
          <w:sz w:val="16"/>
          <w:szCs w:val="16"/>
        </w:rPr>
        <w:t>Le praticien doit trier ses déchets dès leur production et les</w:t>
      </w:r>
      <w:r w:rsidR="00B77BFB" w:rsidRPr="008233EA">
        <w:rPr>
          <w:rStyle w:val="jsgrdq"/>
          <w:rFonts w:ascii="Verdana" w:hAnsi="Verdana"/>
          <w:color w:val="279097"/>
          <w:sz w:val="16"/>
          <w:szCs w:val="16"/>
        </w:rPr>
        <w:t xml:space="preserve"> </w:t>
      </w:r>
      <w:r w:rsidRPr="008233EA">
        <w:rPr>
          <w:rStyle w:val="jsgrdq"/>
          <w:rFonts w:ascii="Verdana" w:hAnsi="Verdana"/>
          <w:color w:val="279097"/>
          <w:sz w:val="16"/>
          <w:szCs w:val="16"/>
        </w:rPr>
        <w:t>placer immédiatement dans le conteneur spécifique agréé</w:t>
      </w:r>
      <w:r w:rsidRPr="008233EA">
        <w:rPr>
          <w:rStyle w:val="jsgrdq"/>
          <w:rFonts w:ascii="Verdana" w:hAnsi="Verdana"/>
          <w:color w:val="7F7F7F" w:themeColor="text1" w:themeTint="80"/>
          <w:sz w:val="16"/>
          <w:szCs w:val="16"/>
        </w:rPr>
        <w:t>, en distinguant notamment les déchets mercuriels et les déchets à risque : DASRI (déchets d'activité de soins à risques infectieux).</w:t>
      </w:r>
    </w:p>
    <w:p w14:paraId="251C3A06" w14:textId="77777777" w:rsidR="004F4B4B" w:rsidRPr="008233EA" w:rsidRDefault="004F4B4B" w:rsidP="0017390B">
      <w:pPr>
        <w:pStyle w:val="Standard"/>
        <w:spacing w:after="0"/>
        <w:rPr>
          <w:rStyle w:val="jsgrdq"/>
          <w:rFonts w:ascii="Verdana" w:hAnsi="Verdana"/>
          <w:color w:val="279097"/>
          <w:sz w:val="16"/>
          <w:szCs w:val="16"/>
        </w:rPr>
      </w:pPr>
    </w:p>
    <w:p w14:paraId="77766D99" w14:textId="2DE8A744" w:rsidR="00A31F8C" w:rsidRDefault="0017390B" w:rsidP="00A31F8C">
      <w:pPr>
        <w:pStyle w:val="Standard"/>
        <w:spacing w:after="0"/>
        <w:rPr>
          <w:rStyle w:val="jsgrdq"/>
          <w:rFonts w:ascii="Verdana" w:hAnsi="Verdana"/>
          <w:b/>
          <w:bCs/>
          <w:color w:val="279097"/>
          <w:sz w:val="24"/>
          <w:szCs w:val="24"/>
        </w:rPr>
      </w:pPr>
      <w:r w:rsidRPr="008233EA">
        <w:rPr>
          <w:rStyle w:val="jsgrdq"/>
          <w:rFonts w:ascii="Verdana" w:hAnsi="Verdana"/>
          <w:b/>
          <w:bCs/>
          <w:color w:val="279097"/>
          <w:sz w:val="24"/>
          <w:szCs w:val="24"/>
        </w:rPr>
        <w:t>Les différents déchets</w:t>
      </w:r>
    </w:p>
    <w:p w14:paraId="43BF0084" w14:textId="29CEA599" w:rsidR="008233EA" w:rsidRPr="008233EA" w:rsidRDefault="00471856" w:rsidP="00A31F8C">
      <w:pPr>
        <w:pStyle w:val="Standard"/>
        <w:spacing w:after="0"/>
        <w:rPr>
          <w:rStyle w:val="jsgrdq"/>
          <w:rFonts w:ascii="Verdana" w:hAnsi="Verdana"/>
          <w:b/>
          <w:bCs/>
          <w:color w:val="279097"/>
          <w:sz w:val="24"/>
          <w:szCs w:val="24"/>
        </w:rPr>
      </w:pPr>
      <w:r>
        <w:rPr>
          <w:noProof/>
        </w:rPr>
        <w:drawing>
          <wp:anchor distT="0" distB="0" distL="114300" distR="114300" simplePos="0" relativeHeight="251664384" behindDoc="1" locked="0" layoutInCell="1" allowOverlap="1" wp14:anchorId="397D7504" wp14:editId="6D96812A">
            <wp:simplePos x="0" y="0"/>
            <wp:positionH relativeFrom="column">
              <wp:posOffset>59055</wp:posOffset>
            </wp:positionH>
            <wp:positionV relativeFrom="paragraph">
              <wp:posOffset>165735</wp:posOffset>
            </wp:positionV>
            <wp:extent cx="409575" cy="407670"/>
            <wp:effectExtent l="0" t="0" r="0" b="0"/>
            <wp:wrapTight wrapText="bothSides">
              <wp:wrapPolygon edited="0">
                <wp:start x="0" y="0"/>
                <wp:lineTo x="0" y="20187"/>
                <wp:lineTo x="20093" y="20187"/>
                <wp:lineTo x="20093" y="0"/>
                <wp:lineTo x="0" y="0"/>
              </wp:wrapPolygon>
            </wp:wrapTight>
            <wp:docPr id="7" name="Image 7" descr="Mercure et composés minér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rcure et composés minérau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407670"/>
                    </a:xfrm>
                    <a:prstGeom prst="rect">
                      <a:avLst/>
                    </a:prstGeom>
                    <a:noFill/>
                    <a:ln>
                      <a:noFill/>
                    </a:ln>
                  </pic:spPr>
                </pic:pic>
              </a:graphicData>
            </a:graphic>
          </wp:anchor>
        </w:drawing>
      </w:r>
    </w:p>
    <w:p w14:paraId="155786B7" w14:textId="670793B2" w:rsidR="00A31F8C" w:rsidRPr="00FF6D00" w:rsidRDefault="00147A37" w:rsidP="00147A37">
      <w:pPr>
        <w:pStyle w:val="Standard"/>
        <w:spacing w:after="0"/>
        <w:ind w:left="426"/>
        <w:rPr>
          <w:rStyle w:val="jsgrdq"/>
          <w:rFonts w:ascii="Verdana" w:hAnsi="Verdana"/>
          <w:b/>
          <w:bCs/>
          <w:i/>
          <w:iCs/>
          <w:color w:val="279097"/>
          <w:sz w:val="20"/>
          <w:szCs w:val="20"/>
        </w:rPr>
      </w:pPr>
      <w:r w:rsidRPr="008233EA">
        <w:rPr>
          <w:rStyle w:val="jsgrdq"/>
          <w:rFonts w:ascii="Verdana" w:hAnsi="Verdana"/>
          <w:color w:val="279097"/>
        </w:rPr>
        <w:t xml:space="preserve">      </w:t>
      </w:r>
      <w:r w:rsidRPr="008233EA">
        <w:rPr>
          <w:rStyle w:val="jsgrdq"/>
          <w:rFonts w:ascii="Verdana" w:hAnsi="Verdana"/>
          <w:color w:val="279097"/>
          <w:sz w:val="20"/>
          <w:szCs w:val="20"/>
        </w:rPr>
        <w:t xml:space="preserve"> </w:t>
      </w:r>
      <w:r w:rsidR="00A31F8C" w:rsidRPr="00FF6D00">
        <w:rPr>
          <w:rStyle w:val="jsgrdq"/>
          <w:rFonts w:ascii="Verdana" w:hAnsi="Verdana"/>
          <w:b/>
          <w:bCs/>
          <w:i/>
          <w:iCs/>
          <w:color w:val="279097"/>
          <w:sz w:val="20"/>
          <w:szCs w:val="20"/>
        </w:rPr>
        <w:t>Les déchets d’amalgames secs</w:t>
      </w:r>
    </w:p>
    <w:p w14:paraId="137B232C" w14:textId="28BA14B1" w:rsidR="00A9439C" w:rsidRDefault="00471856" w:rsidP="008233EA">
      <w:pPr>
        <w:pStyle w:val="Standard"/>
        <w:spacing w:after="0"/>
        <w:rPr>
          <w:color w:val="FF0000"/>
          <w:sz w:val="16"/>
          <w:szCs w:val="16"/>
        </w:rPr>
      </w:pPr>
      <w:r>
        <w:rPr>
          <w:noProof/>
        </w:rPr>
        <w:drawing>
          <wp:anchor distT="0" distB="0" distL="114300" distR="114300" simplePos="0" relativeHeight="251665408" behindDoc="1" locked="0" layoutInCell="1" allowOverlap="1" wp14:anchorId="3A08C6EB" wp14:editId="14B34B32">
            <wp:simplePos x="0" y="0"/>
            <wp:positionH relativeFrom="column">
              <wp:posOffset>401955</wp:posOffset>
            </wp:positionH>
            <wp:positionV relativeFrom="paragraph">
              <wp:posOffset>73660</wp:posOffset>
            </wp:positionV>
            <wp:extent cx="443230" cy="449580"/>
            <wp:effectExtent l="0" t="0" r="0" b="7620"/>
            <wp:wrapTight wrapText="bothSides">
              <wp:wrapPolygon edited="0">
                <wp:start x="0" y="0"/>
                <wp:lineTo x="0" y="21051"/>
                <wp:lineTo x="20424" y="21051"/>
                <wp:lineTo x="20424" y="0"/>
                <wp:lineTo x="0" y="0"/>
              </wp:wrapPolygon>
            </wp:wrapTight>
            <wp:docPr id="9" name="Image 9" descr="Symboles de signalisation des matières dangereuses selon SGH à combiner  Pictogramme, Tête de mort | Signalisation de substances dangereuses |  Signalisation | Protection du travail et sécurité | Matériel de laboratoire  | Carl Roth -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ymboles de signalisation des matières dangereuses selon SGH à combiner  Pictogramme, Tête de mort | Signalisation de substances dangereuses |  Signalisation | Protection du travail et sécurité | Matériel de laboratoire  | Carl Roth - Fra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443230" cy="449580"/>
                    </a:xfrm>
                    <a:prstGeom prst="rect">
                      <a:avLst/>
                    </a:prstGeom>
                    <a:noFill/>
                    <a:ln>
                      <a:noFill/>
                    </a:ln>
                  </pic:spPr>
                </pic:pic>
              </a:graphicData>
            </a:graphic>
          </wp:anchor>
        </w:drawing>
      </w:r>
    </w:p>
    <w:p w14:paraId="7F33FD3C" w14:textId="58F222FE" w:rsidR="00A9439C" w:rsidRDefault="00471856" w:rsidP="008233EA">
      <w:pPr>
        <w:pStyle w:val="Standard"/>
        <w:spacing w:after="0"/>
        <w:rPr>
          <w:rStyle w:val="jsgrdq"/>
          <w:rFonts w:ascii="Verdana" w:hAnsi="Verdana"/>
          <w:b/>
          <w:bCs/>
          <w:i/>
          <w:iCs/>
          <w:color w:val="279097"/>
          <w:u w:val="single"/>
        </w:rPr>
      </w:pPr>
      <w:r>
        <w:rPr>
          <w:noProof/>
        </w:rPr>
        <w:drawing>
          <wp:anchor distT="0" distB="0" distL="114300" distR="114300" simplePos="0" relativeHeight="251663360" behindDoc="1" locked="0" layoutInCell="1" allowOverlap="1" wp14:anchorId="56CBE613" wp14:editId="5A635A5D">
            <wp:simplePos x="0" y="0"/>
            <wp:positionH relativeFrom="column">
              <wp:posOffset>20320</wp:posOffset>
            </wp:positionH>
            <wp:positionV relativeFrom="paragraph">
              <wp:posOffset>165100</wp:posOffset>
            </wp:positionV>
            <wp:extent cx="447675" cy="447675"/>
            <wp:effectExtent l="0" t="0" r="9525" b="9525"/>
            <wp:wrapTight wrapText="bothSides">
              <wp:wrapPolygon edited="0">
                <wp:start x="9191" y="0"/>
                <wp:lineTo x="0" y="10111"/>
                <wp:lineTo x="0" y="11949"/>
                <wp:lineTo x="8272" y="21140"/>
                <wp:lineTo x="9191" y="21140"/>
                <wp:lineTo x="13787" y="21140"/>
                <wp:lineTo x="14706" y="21140"/>
                <wp:lineTo x="21140" y="12868"/>
                <wp:lineTo x="21140" y="8272"/>
                <wp:lineTo x="13787" y="0"/>
                <wp:lineTo x="9191" y="0"/>
              </wp:wrapPolygon>
            </wp:wrapTight>
            <wp:docPr id="6" name="Image 6" descr="Le mercure | Superpr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 mercure | Superpr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44767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D7D5E6" w14:textId="6301D917" w:rsidR="00A31F8C" w:rsidRPr="008233EA" w:rsidRDefault="008233EA" w:rsidP="00873415">
      <w:pPr>
        <w:pStyle w:val="Standard"/>
        <w:numPr>
          <w:ilvl w:val="0"/>
          <w:numId w:val="29"/>
        </w:numPr>
        <w:spacing w:after="0"/>
        <w:ind w:left="1701"/>
        <w:rPr>
          <w:rStyle w:val="jsgrdq"/>
          <w:rFonts w:ascii="Verdana" w:hAnsi="Verdana"/>
          <w:color w:val="7F7F7F" w:themeColor="text1" w:themeTint="80"/>
          <w:sz w:val="16"/>
          <w:szCs w:val="16"/>
        </w:rPr>
      </w:pPr>
      <w:r>
        <w:rPr>
          <w:rStyle w:val="jsgrdq"/>
          <w:rFonts w:ascii="Verdana" w:hAnsi="Verdana"/>
          <w:color w:val="7F7F7F" w:themeColor="text1" w:themeTint="80"/>
          <w:sz w:val="16"/>
          <w:szCs w:val="16"/>
        </w:rPr>
        <w:t>L</w:t>
      </w:r>
      <w:r w:rsidR="00A31F8C" w:rsidRPr="008233EA">
        <w:rPr>
          <w:rStyle w:val="jsgrdq"/>
          <w:rFonts w:ascii="Verdana" w:hAnsi="Verdana"/>
          <w:color w:val="7F7F7F" w:themeColor="text1" w:themeTint="80"/>
          <w:sz w:val="16"/>
          <w:szCs w:val="16"/>
        </w:rPr>
        <w:t>es boues d</w:t>
      </w:r>
      <w:r w:rsidR="000E6BE2" w:rsidRPr="008233EA">
        <w:rPr>
          <w:rStyle w:val="jsgrdq"/>
          <w:rFonts w:ascii="Verdana" w:hAnsi="Verdana"/>
          <w:color w:val="7F7F7F" w:themeColor="text1" w:themeTint="80"/>
          <w:sz w:val="16"/>
          <w:szCs w:val="16"/>
        </w:rPr>
        <w:t>’</w:t>
      </w:r>
      <w:r w:rsidR="00A31F8C" w:rsidRPr="008233EA">
        <w:rPr>
          <w:rStyle w:val="jsgrdq"/>
          <w:rFonts w:ascii="Verdana" w:hAnsi="Verdana"/>
          <w:color w:val="7F7F7F" w:themeColor="text1" w:themeTint="80"/>
          <w:sz w:val="16"/>
          <w:szCs w:val="16"/>
        </w:rPr>
        <w:t xml:space="preserve">amalgames issues des séparateurs (obligatoire sur chaque </w:t>
      </w:r>
      <w:r w:rsidR="00A31F8C" w:rsidRPr="00631E4D">
        <w:rPr>
          <w:rStyle w:val="jsgrdq"/>
          <w:rFonts w:ascii="Verdana" w:hAnsi="Verdana"/>
          <w:color w:val="7F7F7F" w:themeColor="text1" w:themeTint="80"/>
          <w:sz w:val="16"/>
          <w:szCs w:val="16"/>
        </w:rPr>
        <w:t>unit</w:t>
      </w:r>
      <w:r>
        <w:rPr>
          <w:rStyle w:val="jsgrdq"/>
          <w:rFonts w:ascii="Verdana" w:hAnsi="Verdana"/>
          <w:color w:val="7F7F7F" w:themeColor="text1" w:themeTint="80"/>
          <w:sz w:val="16"/>
          <w:szCs w:val="16"/>
        </w:rPr>
        <w:t>).</w:t>
      </w:r>
    </w:p>
    <w:p w14:paraId="4835B3F8" w14:textId="0852F2A6" w:rsidR="00A31F8C" w:rsidRDefault="008233EA" w:rsidP="00873415">
      <w:pPr>
        <w:pStyle w:val="Standard"/>
        <w:numPr>
          <w:ilvl w:val="0"/>
          <w:numId w:val="29"/>
        </w:numPr>
        <w:spacing w:after="0"/>
        <w:ind w:left="1701"/>
        <w:rPr>
          <w:rStyle w:val="jsgrdq"/>
          <w:rFonts w:ascii="Verdana" w:hAnsi="Verdana"/>
          <w:color w:val="7F7F7F" w:themeColor="text1" w:themeTint="80"/>
          <w:sz w:val="16"/>
          <w:szCs w:val="16"/>
        </w:rPr>
      </w:pPr>
      <w:r>
        <w:rPr>
          <w:rStyle w:val="jsgrdq"/>
          <w:rFonts w:ascii="Verdana" w:hAnsi="Verdana"/>
          <w:color w:val="7F7F7F" w:themeColor="text1" w:themeTint="80"/>
          <w:sz w:val="16"/>
          <w:szCs w:val="16"/>
        </w:rPr>
        <w:t>L</w:t>
      </w:r>
      <w:r w:rsidR="00A31F8C" w:rsidRPr="008233EA">
        <w:rPr>
          <w:rStyle w:val="jsgrdq"/>
          <w:rFonts w:ascii="Verdana" w:hAnsi="Verdana"/>
          <w:color w:val="7F7F7F" w:themeColor="text1" w:themeTint="80"/>
          <w:sz w:val="16"/>
          <w:szCs w:val="16"/>
        </w:rPr>
        <w:t>es autres déchets non souillés assimilables aux ordures ménagères.</w:t>
      </w:r>
    </w:p>
    <w:p w14:paraId="7133863F" w14:textId="77777777" w:rsidR="00471856" w:rsidRDefault="00471856" w:rsidP="00471856">
      <w:pPr>
        <w:pStyle w:val="Standard"/>
        <w:spacing w:after="0"/>
        <w:ind w:left="1701"/>
        <w:rPr>
          <w:rStyle w:val="jsgrdq"/>
          <w:rFonts w:ascii="Verdana" w:hAnsi="Verdana"/>
          <w:color w:val="7F7F7F" w:themeColor="text1" w:themeTint="80"/>
          <w:sz w:val="16"/>
          <w:szCs w:val="16"/>
        </w:rPr>
      </w:pPr>
    </w:p>
    <w:p w14:paraId="05CC83B8" w14:textId="588989A7" w:rsidR="00471856" w:rsidRPr="008233EA" w:rsidRDefault="00471856" w:rsidP="00471856">
      <w:pPr>
        <w:pStyle w:val="Standard"/>
        <w:spacing w:after="0"/>
        <w:ind w:left="1701"/>
        <w:rPr>
          <w:rStyle w:val="jsgrdq"/>
          <w:rFonts w:ascii="Verdana" w:hAnsi="Verdana"/>
          <w:color w:val="7F7F7F" w:themeColor="text1" w:themeTint="80"/>
          <w:sz w:val="16"/>
          <w:szCs w:val="16"/>
        </w:rPr>
      </w:pPr>
    </w:p>
    <w:p w14:paraId="4F45FBA6" w14:textId="038E5539" w:rsidR="00A31F8C" w:rsidRPr="008233EA" w:rsidRDefault="00A31F8C" w:rsidP="00873415">
      <w:pPr>
        <w:pStyle w:val="Standard"/>
        <w:spacing w:after="0"/>
        <w:ind w:left="1701" w:firstLine="426"/>
        <w:rPr>
          <w:rStyle w:val="jsgrdq"/>
          <w:rFonts w:ascii="Verdana" w:hAnsi="Verdana"/>
          <w:color w:val="7F7F7F" w:themeColor="text1" w:themeTint="80"/>
          <w:sz w:val="16"/>
          <w:szCs w:val="16"/>
        </w:rPr>
      </w:pPr>
    </w:p>
    <w:p w14:paraId="1AA238EC" w14:textId="20E156B3" w:rsidR="005E2A6B" w:rsidRPr="00943FF1" w:rsidRDefault="00471856" w:rsidP="005E2A6B">
      <w:pPr>
        <w:pStyle w:val="Standard"/>
        <w:spacing w:after="0"/>
        <w:rPr>
          <w:b/>
          <w:bCs/>
          <w:color w:val="FF0000"/>
          <w:sz w:val="16"/>
          <w:szCs w:val="16"/>
        </w:rPr>
      </w:pPr>
      <w:r>
        <w:rPr>
          <w:noProof/>
        </w:rPr>
        <w:drawing>
          <wp:anchor distT="0" distB="0" distL="114300" distR="114300" simplePos="0" relativeHeight="251667456" behindDoc="1" locked="0" layoutInCell="1" allowOverlap="1" wp14:anchorId="50E2249B" wp14:editId="72BEEE78">
            <wp:simplePos x="0" y="0"/>
            <wp:positionH relativeFrom="column">
              <wp:posOffset>0</wp:posOffset>
            </wp:positionH>
            <wp:positionV relativeFrom="paragraph">
              <wp:posOffset>18415</wp:posOffset>
            </wp:positionV>
            <wp:extent cx="409575" cy="407670"/>
            <wp:effectExtent l="0" t="0" r="0" b="0"/>
            <wp:wrapTight wrapText="bothSides">
              <wp:wrapPolygon edited="0">
                <wp:start x="0" y="0"/>
                <wp:lineTo x="0" y="20187"/>
                <wp:lineTo x="20093" y="20187"/>
                <wp:lineTo x="20093" y="0"/>
                <wp:lineTo x="0" y="0"/>
              </wp:wrapPolygon>
            </wp:wrapTight>
            <wp:docPr id="8" name="Image 8" descr="Mercure et composés minér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rcure et composés minérau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407670"/>
                    </a:xfrm>
                    <a:prstGeom prst="rect">
                      <a:avLst/>
                    </a:prstGeom>
                    <a:noFill/>
                    <a:ln>
                      <a:noFill/>
                    </a:ln>
                  </pic:spPr>
                </pic:pic>
              </a:graphicData>
            </a:graphic>
          </wp:anchor>
        </w:drawing>
      </w:r>
      <w:r w:rsidR="00147A37" w:rsidRPr="008233EA">
        <w:rPr>
          <w:rStyle w:val="jsgrdq"/>
          <w:rFonts w:ascii="Verdana" w:hAnsi="Verdana"/>
          <w:color w:val="279097"/>
          <w:sz w:val="20"/>
          <w:szCs w:val="20"/>
        </w:rPr>
        <w:t xml:space="preserve">  </w:t>
      </w:r>
    </w:p>
    <w:p w14:paraId="1CCB749D" w14:textId="1BBCDD03" w:rsidR="005313C0" w:rsidRPr="00FF6D00" w:rsidRDefault="00147A37" w:rsidP="00FF6D00">
      <w:pPr>
        <w:pStyle w:val="Standard"/>
        <w:spacing w:after="0"/>
        <w:ind w:left="426"/>
        <w:rPr>
          <w:rStyle w:val="jsgrdq"/>
          <w:b/>
          <w:i/>
          <w:iCs/>
          <w:color w:val="279097"/>
          <w:sz w:val="20"/>
          <w:szCs w:val="20"/>
        </w:rPr>
      </w:pPr>
      <w:r w:rsidRPr="00FF6D00">
        <w:rPr>
          <w:rStyle w:val="jsgrdq"/>
          <w:rFonts w:ascii="Verdana" w:hAnsi="Verdana"/>
          <w:b/>
          <w:bCs/>
          <w:i/>
          <w:iCs/>
          <w:color w:val="279097"/>
          <w:sz w:val="20"/>
          <w:szCs w:val="20"/>
        </w:rPr>
        <w:t xml:space="preserve">         </w:t>
      </w:r>
      <w:r w:rsidR="00A31F8C" w:rsidRPr="00FF6D00">
        <w:rPr>
          <w:rStyle w:val="jsgrdq"/>
          <w:rFonts w:ascii="Verdana" w:hAnsi="Verdana"/>
          <w:b/>
          <w:bCs/>
          <w:i/>
          <w:iCs/>
          <w:color w:val="279097"/>
          <w:sz w:val="20"/>
          <w:szCs w:val="20"/>
        </w:rPr>
        <w:t xml:space="preserve">Les déchets </w:t>
      </w:r>
      <w:r w:rsidR="00A31F8C" w:rsidRPr="005E2A6B">
        <w:rPr>
          <w:rStyle w:val="jsgrdq"/>
          <w:rFonts w:ascii="Verdana" w:hAnsi="Verdana"/>
          <w:b/>
          <w:bCs/>
          <w:i/>
          <w:iCs/>
          <w:color w:val="279097"/>
          <w:sz w:val="20"/>
          <w:szCs w:val="20"/>
        </w:rPr>
        <w:t>médicamenteux</w:t>
      </w:r>
      <w:r w:rsidR="00A31F8C" w:rsidRPr="00FF6D00">
        <w:rPr>
          <w:rStyle w:val="jsgrdq"/>
          <w:rFonts w:ascii="Verdana" w:hAnsi="Verdana"/>
          <w:b/>
          <w:bCs/>
          <w:i/>
          <w:iCs/>
          <w:color w:val="279097"/>
          <w:sz w:val="20"/>
          <w:szCs w:val="20"/>
        </w:rPr>
        <w:t xml:space="preserve"> </w:t>
      </w:r>
      <w:r w:rsidR="005F54D5" w:rsidRPr="00FF6D00">
        <w:rPr>
          <w:rStyle w:val="jsgrdq"/>
          <w:rFonts w:ascii="Verdana" w:hAnsi="Verdana"/>
          <w:b/>
          <w:bCs/>
          <w:i/>
          <w:iCs/>
          <w:color w:val="279097"/>
          <w:sz w:val="20"/>
          <w:szCs w:val="20"/>
        </w:rPr>
        <w:t>(DIMED)</w:t>
      </w:r>
      <w:r w:rsidR="005F54D5" w:rsidRPr="00FF6D00">
        <w:rPr>
          <w:rStyle w:val="jsgrdq"/>
          <w:b/>
          <w:i/>
          <w:iCs/>
          <w:color w:val="279097"/>
          <w:sz w:val="20"/>
          <w:szCs w:val="20"/>
        </w:rPr>
        <w:t xml:space="preserve"> </w:t>
      </w:r>
    </w:p>
    <w:p w14:paraId="34A674FF" w14:textId="77777777" w:rsidR="005313C0" w:rsidRDefault="005313C0" w:rsidP="00147A37">
      <w:pPr>
        <w:pStyle w:val="Standard"/>
        <w:spacing w:after="0"/>
        <w:rPr>
          <w:rFonts w:ascii="Verdana" w:hAnsi="Verdana"/>
          <w:bCs/>
          <w:color w:val="7F7F7F" w:themeColor="text1" w:themeTint="80"/>
        </w:rPr>
      </w:pPr>
    </w:p>
    <w:p w14:paraId="1B1FCC3B" w14:textId="77777777" w:rsidR="000810B0" w:rsidRDefault="000810B0" w:rsidP="00154703">
      <w:pPr>
        <w:pStyle w:val="Standard"/>
        <w:spacing w:after="0"/>
        <w:jc w:val="both"/>
        <w:rPr>
          <w:rFonts w:ascii="Verdana" w:hAnsi="Verdana"/>
          <w:color w:val="7F7F7F" w:themeColor="text1" w:themeTint="80"/>
          <w:sz w:val="16"/>
          <w:szCs w:val="16"/>
        </w:rPr>
      </w:pPr>
      <w:r w:rsidRPr="008233EA">
        <w:rPr>
          <w:rFonts w:ascii="Verdana" w:hAnsi="Verdana"/>
          <w:color w:val="7F7F7F" w:themeColor="text1" w:themeTint="80"/>
          <w:sz w:val="16"/>
          <w:szCs w:val="16"/>
        </w:rPr>
        <w:t xml:space="preserve">Les résidus de médicaments, les médicaments périmés ou non utilisés sont assimilés à des déchets dangereux. </w:t>
      </w:r>
    </w:p>
    <w:p w14:paraId="4BCBF3A3" w14:textId="77777777" w:rsidR="00154703" w:rsidRDefault="00154703" w:rsidP="00154703">
      <w:pPr>
        <w:pStyle w:val="Standard"/>
        <w:spacing w:after="0"/>
        <w:jc w:val="both"/>
        <w:rPr>
          <w:rFonts w:ascii="Verdana" w:hAnsi="Verdana"/>
          <w:color w:val="7F7F7F" w:themeColor="text1" w:themeTint="80"/>
          <w:sz w:val="16"/>
          <w:szCs w:val="16"/>
        </w:rPr>
      </w:pPr>
      <w:r w:rsidRPr="008233EA">
        <w:rPr>
          <w:rFonts w:ascii="Verdana" w:hAnsi="Verdana"/>
          <w:color w:val="7F7F7F" w:themeColor="text1" w:themeTint="80"/>
          <w:sz w:val="16"/>
          <w:szCs w:val="16"/>
        </w:rPr>
        <w:t>Leur collecte et leur traitement par une filière de déchets spécifiques ont été organisés afin de protéger l’environnement en évitant les rejets médicamenteux dans la nature suite à leur mise en décharge ou à leur rejet dans les eaux usées, mais aussi prévenir les risques potentiels d’intoxications médicamenteuses par ingestion accidentelle.</w:t>
      </w:r>
    </w:p>
    <w:p w14:paraId="6B61E116" w14:textId="77777777" w:rsidR="005313C0" w:rsidRPr="005313C0" w:rsidRDefault="005313C0" w:rsidP="00154703">
      <w:pPr>
        <w:pStyle w:val="Standard"/>
        <w:spacing w:after="0"/>
        <w:jc w:val="both"/>
        <w:rPr>
          <w:rFonts w:ascii="Verdana" w:hAnsi="Verdana"/>
          <w:sz w:val="16"/>
          <w:szCs w:val="16"/>
        </w:rPr>
      </w:pPr>
    </w:p>
    <w:p w14:paraId="501B11BD" w14:textId="28195644" w:rsidR="00154703" w:rsidRDefault="00D57C76" w:rsidP="00154703">
      <w:pPr>
        <w:pStyle w:val="Standard"/>
        <w:spacing w:after="0"/>
        <w:jc w:val="both"/>
        <w:rPr>
          <w:rStyle w:val="jsgrdq"/>
          <w:rFonts w:ascii="Verdana" w:hAnsi="Verdana"/>
          <w:color w:val="7F7F7F" w:themeColor="text1" w:themeTint="80"/>
          <w:sz w:val="16"/>
          <w:szCs w:val="16"/>
        </w:rPr>
      </w:pPr>
      <w:r w:rsidRPr="008233EA">
        <w:rPr>
          <w:rFonts w:ascii="Verdana" w:hAnsi="Verdana"/>
          <w:color w:val="7F7F7F" w:themeColor="text1" w:themeTint="80"/>
          <w:sz w:val="16"/>
          <w:szCs w:val="16"/>
        </w:rPr>
        <w:t>Les DIMED issus de l’activité des professionnels de santé du secteur diffus et établissements de santé doivent être retournés au fabricant ou fournisseur ou suivre une filière de collecte sécurisée (prestataire DASRI ou société partenaire) pour aboutir selon la recommandation énoncée au sein de l’article R. 4211-27 du code de la Santé publique à leur incinération</w:t>
      </w:r>
      <w:r w:rsidR="005313C0">
        <w:rPr>
          <w:rFonts w:ascii="Verdana" w:hAnsi="Verdana"/>
          <w:color w:val="7F7F7F" w:themeColor="text1" w:themeTint="80"/>
          <w:sz w:val="16"/>
          <w:szCs w:val="16"/>
        </w:rPr>
        <w:t>.</w:t>
      </w:r>
      <w:r w:rsidR="00154703" w:rsidRPr="00154703">
        <w:rPr>
          <w:rStyle w:val="jsgrdq"/>
          <w:rFonts w:ascii="Verdana" w:hAnsi="Verdana"/>
          <w:color w:val="7F7F7F" w:themeColor="text1" w:themeTint="80"/>
          <w:sz w:val="16"/>
          <w:szCs w:val="16"/>
        </w:rPr>
        <w:t xml:space="preserve"> </w:t>
      </w:r>
      <w:r w:rsidR="00154703">
        <w:rPr>
          <w:rStyle w:val="jsgrdq"/>
          <w:rFonts w:ascii="Verdana" w:hAnsi="Verdana"/>
          <w:color w:val="7F7F7F" w:themeColor="text1" w:themeTint="80"/>
          <w:sz w:val="16"/>
          <w:szCs w:val="16"/>
        </w:rPr>
        <w:t xml:space="preserve">Les DIMED </w:t>
      </w:r>
      <w:r w:rsidR="00154703" w:rsidRPr="008233EA">
        <w:rPr>
          <w:rStyle w:val="jsgrdq"/>
          <w:rFonts w:ascii="Verdana" w:hAnsi="Verdana"/>
          <w:color w:val="7F7F7F" w:themeColor="text1" w:themeTint="80"/>
          <w:sz w:val="16"/>
          <w:szCs w:val="16"/>
        </w:rPr>
        <w:t>non utilisés sont à retourner au laboratoire ou en officine.</w:t>
      </w:r>
    </w:p>
    <w:p w14:paraId="25C19F63" w14:textId="39846B68" w:rsidR="00D57C76" w:rsidRPr="008233EA" w:rsidRDefault="00D57C76" w:rsidP="005313C0">
      <w:pPr>
        <w:pStyle w:val="Standard"/>
        <w:spacing w:after="0"/>
        <w:jc w:val="both"/>
        <w:rPr>
          <w:rFonts w:ascii="Verdana" w:hAnsi="Verdana"/>
          <w:color w:val="7F7F7F" w:themeColor="text1" w:themeTint="80"/>
          <w:sz w:val="16"/>
          <w:szCs w:val="16"/>
        </w:rPr>
      </w:pPr>
    </w:p>
    <w:p w14:paraId="3D1A33D5" w14:textId="39E9BDE1" w:rsidR="00A31F8C" w:rsidRPr="008233EA" w:rsidRDefault="0010275A" w:rsidP="00A31F8C">
      <w:pPr>
        <w:pStyle w:val="Standard"/>
        <w:spacing w:after="0"/>
        <w:ind w:left="360"/>
        <w:rPr>
          <w:rFonts w:ascii="Verdana" w:hAnsi="Verdana"/>
          <w:color w:val="7F7F7F" w:themeColor="text1" w:themeTint="80"/>
          <w:sz w:val="20"/>
          <w:szCs w:val="20"/>
        </w:rPr>
      </w:pPr>
      <w:r w:rsidRPr="008233EA">
        <w:rPr>
          <w:rFonts w:ascii="Verdana" w:hAnsi="Verdana"/>
          <w:noProof/>
        </w:rPr>
        <w:drawing>
          <wp:anchor distT="0" distB="0" distL="114300" distR="114300" simplePos="0" relativeHeight="251660288" behindDoc="1" locked="0" layoutInCell="1" allowOverlap="1" wp14:anchorId="3A0D6072" wp14:editId="28AC89EC">
            <wp:simplePos x="0" y="0"/>
            <wp:positionH relativeFrom="column">
              <wp:posOffset>-47625</wp:posOffset>
            </wp:positionH>
            <wp:positionV relativeFrom="paragraph">
              <wp:posOffset>167640</wp:posOffset>
            </wp:positionV>
            <wp:extent cx="514350" cy="478790"/>
            <wp:effectExtent l="0" t="0" r="0" b="0"/>
            <wp:wrapTight wrapText="bothSides">
              <wp:wrapPolygon edited="0">
                <wp:start x="0" y="0"/>
                <wp:lineTo x="0" y="20626"/>
                <wp:lineTo x="20800" y="20626"/>
                <wp:lineTo x="20800"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435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DCE622" w14:textId="160ADDC0" w:rsidR="00606772" w:rsidRPr="008233EA" w:rsidRDefault="00606772" w:rsidP="00606772">
      <w:pPr>
        <w:pStyle w:val="Standard"/>
        <w:spacing w:after="0"/>
        <w:ind w:left="360"/>
        <w:rPr>
          <w:rStyle w:val="jsgrdq"/>
          <w:rFonts w:ascii="Verdana" w:hAnsi="Verdana"/>
          <w:color w:val="279097"/>
          <w:u w:val="single"/>
        </w:rPr>
      </w:pPr>
    </w:p>
    <w:p w14:paraId="0D24C334" w14:textId="5B716ABB" w:rsidR="00606772" w:rsidRPr="008233EA" w:rsidRDefault="0010275A" w:rsidP="0010275A">
      <w:pPr>
        <w:pStyle w:val="Standard"/>
        <w:spacing w:after="0"/>
        <w:ind w:left="1276" w:hanging="425"/>
        <w:rPr>
          <w:rStyle w:val="jsgrdq"/>
          <w:rFonts w:ascii="Verdana" w:hAnsi="Verdana"/>
          <w:b/>
          <w:bCs/>
          <w:i/>
          <w:iCs/>
          <w:color w:val="279097"/>
          <w:sz w:val="20"/>
          <w:szCs w:val="20"/>
        </w:rPr>
      </w:pPr>
      <w:r>
        <w:rPr>
          <w:rStyle w:val="jsgrdq"/>
          <w:rFonts w:ascii="Verdana" w:hAnsi="Verdana"/>
          <w:b/>
          <w:bCs/>
          <w:i/>
          <w:iCs/>
          <w:color w:val="279097"/>
          <w:sz w:val="20"/>
          <w:szCs w:val="20"/>
        </w:rPr>
        <w:t xml:space="preserve"> </w:t>
      </w:r>
      <w:r w:rsidR="00471856">
        <w:rPr>
          <w:rStyle w:val="jsgrdq"/>
          <w:rFonts w:ascii="Verdana" w:hAnsi="Verdana"/>
          <w:b/>
          <w:bCs/>
          <w:i/>
          <w:iCs/>
          <w:color w:val="279097"/>
          <w:sz w:val="20"/>
          <w:szCs w:val="20"/>
        </w:rPr>
        <w:t xml:space="preserve">      </w:t>
      </w:r>
      <w:r w:rsidR="00A31F8C" w:rsidRPr="00FF6D00">
        <w:rPr>
          <w:rStyle w:val="jsgrdq"/>
          <w:rFonts w:ascii="Verdana" w:hAnsi="Verdana"/>
          <w:b/>
          <w:bCs/>
          <w:i/>
          <w:iCs/>
          <w:color w:val="279097"/>
          <w:sz w:val="20"/>
          <w:szCs w:val="20"/>
        </w:rPr>
        <w:t>Les déchets d’Equipements Electriques et Electroniques</w:t>
      </w:r>
      <w:r w:rsidR="00A31F8C" w:rsidRPr="008233EA">
        <w:rPr>
          <w:rStyle w:val="jsgrdq"/>
          <w:rFonts w:ascii="Verdana" w:hAnsi="Verdana"/>
          <w:b/>
          <w:bCs/>
          <w:i/>
          <w:iCs/>
          <w:color w:val="279097"/>
          <w:sz w:val="20"/>
          <w:szCs w:val="20"/>
        </w:rPr>
        <w:t xml:space="preserve"> (DEEE)</w:t>
      </w:r>
    </w:p>
    <w:p w14:paraId="4CC60E75" w14:textId="77777777" w:rsidR="00606772" w:rsidRPr="008233EA" w:rsidRDefault="00606772" w:rsidP="00606772">
      <w:pPr>
        <w:pStyle w:val="Standard"/>
        <w:spacing w:after="0"/>
        <w:ind w:left="360"/>
        <w:rPr>
          <w:rStyle w:val="jsgrdq"/>
          <w:rFonts w:ascii="Verdana" w:hAnsi="Verdana"/>
          <w:color w:val="279097"/>
        </w:rPr>
      </w:pPr>
    </w:p>
    <w:p w14:paraId="2CA76AF8" w14:textId="77777777" w:rsidR="00D57C76" w:rsidRPr="008233EA" w:rsidRDefault="00D57C76" w:rsidP="00147A37">
      <w:pPr>
        <w:pStyle w:val="Standard"/>
        <w:spacing w:after="0"/>
        <w:rPr>
          <w:rStyle w:val="jsgrdq"/>
          <w:rFonts w:ascii="Verdana" w:hAnsi="Verdana"/>
          <w:color w:val="767171" w:themeColor="background2" w:themeShade="80"/>
          <w:sz w:val="20"/>
          <w:szCs w:val="20"/>
        </w:rPr>
      </w:pPr>
    </w:p>
    <w:p w14:paraId="5D19B5FC" w14:textId="77777777" w:rsidR="00D57C76" w:rsidRPr="008233EA" w:rsidRDefault="00D57C76" w:rsidP="004061D9">
      <w:pPr>
        <w:pStyle w:val="Standard"/>
        <w:spacing w:after="0"/>
        <w:jc w:val="both"/>
        <w:rPr>
          <w:rFonts w:ascii="Verdana" w:hAnsi="Verdana"/>
          <w:color w:val="767171" w:themeColor="background2" w:themeShade="80"/>
          <w:sz w:val="16"/>
          <w:szCs w:val="16"/>
        </w:rPr>
      </w:pPr>
      <w:r w:rsidRPr="008233EA">
        <w:rPr>
          <w:rFonts w:ascii="Verdana" w:hAnsi="Verdana"/>
          <w:color w:val="767171" w:themeColor="background2" w:themeShade="80"/>
          <w:sz w:val="16"/>
          <w:szCs w:val="16"/>
        </w:rPr>
        <w:t>Les DEEE sont les équipements ménagers ou professionnels hors d’usage fonctionnant sur secteur, avec des piles ou des batteries. Ce sont par exemple les équipements d’éclairage, les équipements numériques ou électroménagers</w:t>
      </w:r>
    </w:p>
    <w:p w14:paraId="444B998F" w14:textId="0AC69D24" w:rsidR="00D57C76" w:rsidRPr="008233EA" w:rsidRDefault="00D57C76" w:rsidP="004061D9">
      <w:pPr>
        <w:pStyle w:val="Standard"/>
        <w:spacing w:after="0"/>
        <w:jc w:val="both"/>
        <w:rPr>
          <w:rStyle w:val="jsgrdq"/>
          <w:rFonts w:ascii="Verdana" w:hAnsi="Verdana"/>
          <w:color w:val="767171" w:themeColor="background2" w:themeShade="80"/>
          <w:sz w:val="16"/>
          <w:szCs w:val="16"/>
        </w:rPr>
      </w:pPr>
      <w:r w:rsidRPr="008233EA">
        <w:rPr>
          <w:rFonts w:ascii="Verdana" w:hAnsi="Verdana"/>
          <w:color w:val="7F7F7F" w:themeColor="text1" w:themeTint="80"/>
          <w:sz w:val="16"/>
          <w:szCs w:val="16"/>
        </w:rPr>
        <w:t xml:space="preserve">Ils contiennent souvent des substances ou composants dangereux pour l’environnement. Ils présentent aussi un fort potentiel de recyclage des matériaux qui les composent, comme les métaux rares. Une filière de gestion spécifique a donc été créée par l’Union européenne et a été confiée à des éco-organismes parmi lesquels </w:t>
      </w:r>
      <w:proofErr w:type="spellStart"/>
      <w:r w:rsidRPr="008233EA">
        <w:rPr>
          <w:rFonts w:ascii="Verdana" w:hAnsi="Verdana"/>
          <w:color w:val="7F7F7F" w:themeColor="text1" w:themeTint="80"/>
          <w:sz w:val="16"/>
          <w:szCs w:val="16"/>
        </w:rPr>
        <w:t>Ecologic</w:t>
      </w:r>
      <w:proofErr w:type="spellEnd"/>
      <w:r w:rsidRPr="008233EA">
        <w:rPr>
          <w:rFonts w:ascii="Verdana" w:hAnsi="Verdana"/>
          <w:color w:val="7F7F7F" w:themeColor="text1" w:themeTint="80"/>
          <w:sz w:val="16"/>
          <w:szCs w:val="16"/>
        </w:rPr>
        <w:t xml:space="preserve"> et </w:t>
      </w:r>
      <w:proofErr w:type="spellStart"/>
      <w:r w:rsidRPr="008233EA">
        <w:rPr>
          <w:rFonts w:ascii="Verdana" w:hAnsi="Verdana"/>
          <w:color w:val="7F7F7F" w:themeColor="text1" w:themeTint="80"/>
          <w:sz w:val="16"/>
          <w:szCs w:val="16"/>
        </w:rPr>
        <w:t>Ecosystem</w:t>
      </w:r>
      <w:proofErr w:type="spellEnd"/>
      <w:r w:rsidR="00850429" w:rsidRPr="008233EA">
        <w:rPr>
          <w:rFonts w:ascii="Verdana" w:hAnsi="Verdana"/>
          <w:color w:val="7F7F7F" w:themeColor="text1" w:themeTint="80"/>
          <w:sz w:val="16"/>
          <w:szCs w:val="16"/>
        </w:rPr>
        <w:t xml:space="preserve">. </w:t>
      </w:r>
      <w:r w:rsidR="00147A37" w:rsidRPr="008233EA">
        <w:rPr>
          <w:rStyle w:val="jsgrdq"/>
          <w:rFonts w:ascii="Verdana" w:hAnsi="Verdana"/>
          <w:color w:val="767171" w:themeColor="background2" w:themeShade="80"/>
          <w:sz w:val="16"/>
          <w:szCs w:val="16"/>
        </w:rPr>
        <w:t xml:space="preserve">Ils </w:t>
      </w:r>
      <w:r w:rsidR="00A31F8C" w:rsidRPr="008233EA">
        <w:rPr>
          <w:rStyle w:val="jsgrdq"/>
          <w:rFonts w:ascii="Verdana" w:hAnsi="Verdana"/>
          <w:color w:val="767171" w:themeColor="background2" w:themeShade="80"/>
          <w:sz w:val="16"/>
          <w:szCs w:val="16"/>
        </w:rPr>
        <w:t>disposent d’une voie de traitement spécifique.</w:t>
      </w:r>
    </w:p>
    <w:p w14:paraId="314340E8" w14:textId="45A01070" w:rsidR="00A31F8C" w:rsidRDefault="00A31F8C" w:rsidP="004061D9">
      <w:pPr>
        <w:pStyle w:val="Standard"/>
        <w:spacing w:after="0"/>
        <w:jc w:val="both"/>
        <w:rPr>
          <w:rStyle w:val="jsgrdq"/>
          <w:rFonts w:ascii="Verdana" w:hAnsi="Verdana"/>
          <w:color w:val="767171" w:themeColor="background2" w:themeShade="80"/>
          <w:sz w:val="16"/>
          <w:szCs w:val="16"/>
        </w:rPr>
      </w:pPr>
      <w:r w:rsidRPr="008233EA">
        <w:rPr>
          <w:rStyle w:val="jsgrdq"/>
          <w:rFonts w:ascii="Verdana" w:hAnsi="Verdana"/>
          <w:color w:val="767171" w:themeColor="background2" w:themeShade="80"/>
          <w:sz w:val="16"/>
          <w:szCs w:val="16"/>
        </w:rPr>
        <w:lastRenderedPageBreak/>
        <w:t>En effet, les composants de ces équipements sont souvent constitués de matériaux précieux, mais également toxiques, tels que le verre, les plastiques, les métaux ferreux et non ferreux ou les métaux rares.</w:t>
      </w:r>
    </w:p>
    <w:p w14:paraId="7ED537D4" w14:textId="77777777" w:rsidR="008A5B13" w:rsidRPr="008233EA" w:rsidRDefault="008A5B13" w:rsidP="004061D9">
      <w:pPr>
        <w:pStyle w:val="Standard"/>
        <w:spacing w:after="0"/>
        <w:jc w:val="both"/>
        <w:rPr>
          <w:rStyle w:val="jsgrdq"/>
          <w:rFonts w:ascii="Verdana" w:hAnsi="Verdana"/>
          <w:color w:val="279097"/>
          <w:sz w:val="16"/>
          <w:szCs w:val="16"/>
        </w:rPr>
      </w:pPr>
    </w:p>
    <w:p w14:paraId="4B0D7BF9" w14:textId="77777777" w:rsidR="00377561" w:rsidRDefault="00D57C76" w:rsidP="004061D9">
      <w:pPr>
        <w:jc w:val="both"/>
        <w:rPr>
          <w:rFonts w:ascii="Verdana" w:hAnsi="Verdana"/>
          <w:color w:val="7F7F7F" w:themeColor="text1" w:themeTint="80"/>
          <w:sz w:val="16"/>
          <w:szCs w:val="16"/>
        </w:rPr>
      </w:pPr>
      <w:r w:rsidRPr="008233EA">
        <w:rPr>
          <w:rFonts w:ascii="Verdana" w:hAnsi="Verdana"/>
          <w:color w:val="7F7F7F" w:themeColor="text1" w:themeTint="80"/>
          <w:sz w:val="16"/>
          <w:szCs w:val="16"/>
        </w:rPr>
        <w:t>Parmi ces DEEE, on distingue les DEEE médicaux assimilés à des dispositifs médicaux et les DEEE non spécifiques</w:t>
      </w:r>
      <w:r w:rsidR="00377561">
        <w:rPr>
          <w:rFonts w:ascii="Verdana" w:hAnsi="Verdana"/>
          <w:color w:val="7F7F7F" w:themeColor="text1" w:themeTint="80"/>
          <w:sz w:val="16"/>
          <w:szCs w:val="16"/>
        </w:rPr>
        <w:t>.</w:t>
      </w:r>
    </w:p>
    <w:p w14:paraId="37E6AE7E" w14:textId="5F59C9EF" w:rsidR="00850429" w:rsidRPr="008233EA" w:rsidRDefault="00D57C76" w:rsidP="004061D9">
      <w:pPr>
        <w:jc w:val="both"/>
        <w:rPr>
          <w:rFonts w:ascii="Verdana" w:hAnsi="Verdana"/>
          <w:color w:val="7F7F7F" w:themeColor="text1" w:themeTint="80"/>
          <w:sz w:val="16"/>
          <w:szCs w:val="16"/>
        </w:rPr>
      </w:pPr>
      <w:r w:rsidRPr="008233EA">
        <w:rPr>
          <w:rFonts w:ascii="Verdana" w:hAnsi="Verdana"/>
          <w:color w:val="7F7F7F" w:themeColor="text1" w:themeTint="80"/>
          <w:sz w:val="16"/>
          <w:szCs w:val="16"/>
        </w:rPr>
        <w:t>Les DEEE issus des activités professionnelles médicales ou dispositifs médicaux relèvent d’une réglementation spécifique afin d’être correctement dépollués avant d’être recyclés, ils ne doivent pas être jetés avec les déchets banals ou déposés dans les déchèteries.</w:t>
      </w:r>
    </w:p>
    <w:p w14:paraId="52223166" w14:textId="1D4BB79C" w:rsidR="00850429" w:rsidRPr="008233EA" w:rsidRDefault="00D57C76" w:rsidP="004061D9">
      <w:pPr>
        <w:jc w:val="both"/>
        <w:rPr>
          <w:rFonts w:ascii="Verdana" w:hAnsi="Verdana"/>
          <w:color w:val="7F7F7F" w:themeColor="text1" w:themeTint="80"/>
          <w:sz w:val="16"/>
          <w:szCs w:val="16"/>
        </w:rPr>
      </w:pPr>
      <w:r w:rsidRPr="008233EA">
        <w:rPr>
          <w:rFonts w:ascii="Verdana" w:hAnsi="Verdana"/>
          <w:color w:val="7F7F7F" w:themeColor="text1" w:themeTint="80"/>
          <w:sz w:val="16"/>
          <w:szCs w:val="16"/>
        </w:rPr>
        <w:t xml:space="preserve">Le matériel spécifique à l’activité de médecine bucco-dentaire tels que fauteuil patient ou le stérilisateur sont gérés par l’éco-organisme </w:t>
      </w:r>
      <w:proofErr w:type="spellStart"/>
      <w:r w:rsidRPr="008233EA">
        <w:rPr>
          <w:rFonts w:ascii="Verdana" w:hAnsi="Verdana"/>
          <w:color w:val="7F7F7F" w:themeColor="text1" w:themeTint="80"/>
          <w:sz w:val="16"/>
          <w:szCs w:val="16"/>
        </w:rPr>
        <w:t>Ecosystem</w:t>
      </w:r>
      <w:proofErr w:type="spellEnd"/>
      <w:r w:rsidRPr="008233EA">
        <w:rPr>
          <w:rFonts w:ascii="Verdana" w:hAnsi="Verdana"/>
          <w:color w:val="7F7F7F" w:themeColor="text1" w:themeTint="80"/>
          <w:sz w:val="16"/>
          <w:szCs w:val="16"/>
        </w:rPr>
        <w:t xml:space="preserve"> (anciennement Recylum). Les renseignements sont disponibles sur le site </w:t>
      </w:r>
      <w:proofErr w:type="spellStart"/>
      <w:r w:rsidRPr="008233EA">
        <w:rPr>
          <w:rFonts w:ascii="Verdana" w:hAnsi="Verdana"/>
          <w:color w:val="7F7F7F" w:themeColor="text1" w:themeTint="80"/>
          <w:sz w:val="16"/>
          <w:szCs w:val="16"/>
        </w:rPr>
        <w:t>ecosystem.eco</w:t>
      </w:r>
      <w:proofErr w:type="spellEnd"/>
      <w:r w:rsidRPr="008233EA">
        <w:rPr>
          <w:rFonts w:ascii="Verdana" w:hAnsi="Verdana"/>
          <w:color w:val="7F7F7F" w:themeColor="text1" w:themeTint="80"/>
          <w:sz w:val="16"/>
          <w:szCs w:val="16"/>
        </w:rPr>
        <w:t>/</w:t>
      </w:r>
      <w:proofErr w:type="spellStart"/>
      <w:r w:rsidRPr="008233EA">
        <w:rPr>
          <w:rFonts w:ascii="Verdana" w:hAnsi="Verdana"/>
          <w:color w:val="7F7F7F" w:themeColor="text1" w:themeTint="80"/>
          <w:sz w:val="16"/>
          <w:szCs w:val="16"/>
        </w:rPr>
        <w:t>fr</w:t>
      </w:r>
      <w:proofErr w:type="spellEnd"/>
      <w:r w:rsidRPr="008233EA">
        <w:rPr>
          <w:rFonts w:ascii="Verdana" w:hAnsi="Verdana"/>
          <w:color w:val="7F7F7F" w:themeColor="text1" w:themeTint="80"/>
          <w:sz w:val="16"/>
          <w:szCs w:val="16"/>
        </w:rPr>
        <w:t>/fiche-famille/</w:t>
      </w:r>
      <w:proofErr w:type="spellStart"/>
      <w:r w:rsidRPr="008233EA">
        <w:rPr>
          <w:rFonts w:ascii="Verdana" w:hAnsi="Verdana"/>
          <w:color w:val="7F7F7F" w:themeColor="text1" w:themeTint="80"/>
          <w:sz w:val="16"/>
          <w:szCs w:val="16"/>
        </w:rPr>
        <w:t>equipements-medicaux</w:t>
      </w:r>
      <w:proofErr w:type="spellEnd"/>
      <w:r w:rsidRPr="008233EA">
        <w:rPr>
          <w:rFonts w:ascii="Verdana" w:hAnsi="Verdana"/>
          <w:color w:val="7F7F7F" w:themeColor="text1" w:themeTint="80"/>
          <w:sz w:val="16"/>
          <w:szCs w:val="16"/>
        </w:rPr>
        <w:t>.</w:t>
      </w:r>
    </w:p>
    <w:p w14:paraId="54D15E83" w14:textId="313383C5" w:rsidR="00D57C76" w:rsidRPr="008233EA" w:rsidRDefault="005A2F42" w:rsidP="004061D9">
      <w:pPr>
        <w:jc w:val="both"/>
        <w:rPr>
          <w:rFonts w:ascii="Verdana" w:hAnsi="Verdana"/>
          <w:color w:val="7F7F7F" w:themeColor="text1" w:themeTint="80"/>
          <w:sz w:val="16"/>
          <w:szCs w:val="16"/>
        </w:rPr>
      </w:pPr>
      <w:r>
        <w:rPr>
          <w:rFonts w:ascii="Verdana" w:hAnsi="Verdana"/>
          <w:color w:val="7F7F7F" w:themeColor="text1" w:themeTint="80"/>
          <w:sz w:val="16"/>
          <w:szCs w:val="16"/>
        </w:rPr>
        <w:t xml:space="preserve">Les </w:t>
      </w:r>
      <w:r w:rsidR="00D57C76" w:rsidRPr="008233EA">
        <w:rPr>
          <w:rFonts w:ascii="Verdana" w:hAnsi="Verdana"/>
          <w:color w:val="7F7F7F" w:themeColor="text1" w:themeTint="80"/>
          <w:sz w:val="16"/>
          <w:szCs w:val="16"/>
        </w:rPr>
        <w:t>DEEE non spécifiques</w:t>
      </w:r>
      <w:r>
        <w:rPr>
          <w:rFonts w:ascii="Verdana" w:hAnsi="Verdana"/>
          <w:color w:val="7F7F7F" w:themeColor="text1" w:themeTint="80"/>
          <w:sz w:val="16"/>
          <w:szCs w:val="16"/>
        </w:rPr>
        <w:t> :</w:t>
      </w:r>
      <w:r w:rsidR="00D57C76" w:rsidRPr="008233EA">
        <w:rPr>
          <w:rFonts w:ascii="Verdana" w:hAnsi="Verdana"/>
          <w:color w:val="7F7F7F" w:themeColor="text1" w:themeTint="80"/>
          <w:sz w:val="16"/>
          <w:szCs w:val="16"/>
        </w:rPr>
        <w:t xml:space="preserve"> Piles et accumulateurs, ampoules et petits équipements électriques sont à déposer dans les points de collecte ou les déchèteries. Ceux-ci sont cartographiés sur le site de l’éco-organisme </w:t>
      </w:r>
      <w:proofErr w:type="spellStart"/>
      <w:r w:rsidR="00D57C76" w:rsidRPr="008233EA">
        <w:rPr>
          <w:rFonts w:ascii="Verdana" w:hAnsi="Verdana"/>
          <w:color w:val="7F7F7F" w:themeColor="text1" w:themeTint="80"/>
          <w:sz w:val="16"/>
          <w:szCs w:val="16"/>
        </w:rPr>
        <w:t>Ecologic</w:t>
      </w:r>
      <w:proofErr w:type="spellEnd"/>
      <w:r w:rsidR="00D57C76" w:rsidRPr="008233EA">
        <w:rPr>
          <w:rFonts w:ascii="Verdana" w:hAnsi="Verdana"/>
          <w:color w:val="7F7F7F" w:themeColor="text1" w:themeTint="80"/>
          <w:sz w:val="16"/>
          <w:szCs w:val="16"/>
        </w:rPr>
        <w:t xml:space="preserve"> </w:t>
      </w:r>
      <w:r>
        <w:rPr>
          <w:rFonts w:ascii="Verdana" w:hAnsi="Verdana"/>
          <w:color w:val="7F7F7F" w:themeColor="text1" w:themeTint="80"/>
          <w:sz w:val="16"/>
          <w:szCs w:val="16"/>
        </w:rPr>
        <w:t>(</w:t>
      </w:r>
      <w:r w:rsidR="00D57C76" w:rsidRPr="008233EA">
        <w:rPr>
          <w:rFonts w:ascii="Verdana" w:hAnsi="Verdana"/>
          <w:color w:val="7F7F7F" w:themeColor="text1" w:themeTint="80"/>
          <w:sz w:val="16"/>
          <w:szCs w:val="16"/>
        </w:rPr>
        <w:t>ecologicfrance.com/citoyens/ou-deposer-mes-dechets.html</w:t>
      </w:r>
      <w:r>
        <w:rPr>
          <w:rFonts w:ascii="Verdana" w:hAnsi="Verdana"/>
          <w:color w:val="7F7F7F" w:themeColor="text1" w:themeTint="80"/>
          <w:sz w:val="16"/>
          <w:szCs w:val="16"/>
        </w:rPr>
        <w:t>)</w:t>
      </w:r>
      <w:r w:rsidR="00D57C76" w:rsidRPr="008233EA">
        <w:rPr>
          <w:rFonts w:ascii="Verdana" w:hAnsi="Verdana"/>
          <w:color w:val="7F7F7F" w:themeColor="text1" w:themeTint="80"/>
          <w:sz w:val="16"/>
          <w:szCs w:val="16"/>
        </w:rPr>
        <w:t>. Lorsqu’ils sont placés dans les filières de tri dédiées, les DEEE sont en majorité recyclés ou réemployés s’ils sont réparables par des organisations sociales et solidaires</w:t>
      </w:r>
      <w:r w:rsidR="00850429" w:rsidRPr="008233EA">
        <w:rPr>
          <w:rFonts w:ascii="Verdana" w:hAnsi="Verdana"/>
          <w:color w:val="7F7F7F" w:themeColor="text1" w:themeTint="80"/>
          <w:sz w:val="16"/>
          <w:szCs w:val="16"/>
        </w:rPr>
        <w:t>.</w:t>
      </w:r>
    </w:p>
    <w:p w14:paraId="1F8BA3CB" w14:textId="3B31C943" w:rsidR="00850429" w:rsidRPr="008233EA" w:rsidRDefault="00850429" w:rsidP="004061D9">
      <w:pPr>
        <w:jc w:val="both"/>
        <w:rPr>
          <w:rFonts w:ascii="Verdana" w:hAnsi="Verdana"/>
          <w:color w:val="7F7F7F" w:themeColor="text1" w:themeTint="80"/>
          <w:sz w:val="16"/>
          <w:szCs w:val="16"/>
        </w:rPr>
      </w:pPr>
      <w:r w:rsidRPr="008233EA">
        <w:rPr>
          <w:rFonts w:ascii="Verdana" w:hAnsi="Verdana"/>
          <w:color w:val="7F7F7F" w:themeColor="text1" w:themeTint="80"/>
          <w:sz w:val="16"/>
          <w:szCs w:val="16"/>
        </w:rPr>
        <w:t>Les DEEE méritent réemploi, revalorisation réutilisation avant démantèlement et recyclage.</w:t>
      </w:r>
    </w:p>
    <w:p w14:paraId="210D9F3C" w14:textId="4CA8F824" w:rsidR="00606772" w:rsidRPr="008233EA" w:rsidRDefault="00471856" w:rsidP="00FF6D00">
      <w:pPr>
        <w:pStyle w:val="Standard"/>
        <w:spacing w:after="0"/>
        <w:ind w:left="426"/>
        <w:rPr>
          <w:rStyle w:val="jsgrdq"/>
          <w:rFonts w:ascii="Verdana" w:hAnsi="Verdana"/>
          <w:color w:val="279097"/>
        </w:rPr>
      </w:pPr>
      <w:r w:rsidRPr="008233EA">
        <w:rPr>
          <w:rFonts w:ascii="Verdana" w:hAnsi="Verdana"/>
          <w:noProof/>
        </w:rPr>
        <w:drawing>
          <wp:anchor distT="0" distB="0" distL="114300" distR="114300" simplePos="0" relativeHeight="251658240" behindDoc="0" locked="0" layoutInCell="1" allowOverlap="1" wp14:anchorId="4BED1B20" wp14:editId="5BE4CCFD">
            <wp:simplePos x="0" y="0"/>
            <wp:positionH relativeFrom="column">
              <wp:posOffset>-52070</wp:posOffset>
            </wp:positionH>
            <wp:positionV relativeFrom="paragraph">
              <wp:posOffset>101600</wp:posOffset>
            </wp:positionV>
            <wp:extent cx="469265" cy="441325"/>
            <wp:effectExtent l="0" t="0" r="6985" b="0"/>
            <wp:wrapThrough wrapText="bothSides">
              <wp:wrapPolygon edited="0">
                <wp:start x="0" y="0"/>
                <wp:lineTo x="0" y="20512"/>
                <wp:lineTo x="21045" y="20512"/>
                <wp:lineTo x="21045"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9265" cy="441325"/>
                    </a:xfrm>
                    <a:prstGeom prst="rect">
                      <a:avLst/>
                    </a:prstGeom>
                  </pic:spPr>
                </pic:pic>
              </a:graphicData>
            </a:graphic>
            <wp14:sizeRelH relativeFrom="margin">
              <wp14:pctWidth>0</wp14:pctWidth>
            </wp14:sizeRelH>
            <wp14:sizeRelV relativeFrom="margin">
              <wp14:pctHeight>0</wp14:pctHeight>
            </wp14:sizeRelV>
          </wp:anchor>
        </w:drawing>
      </w:r>
    </w:p>
    <w:p w14:paraId="4AC0719E" w14:textId="2E8DE118" w:rsidR="001B4DBE" w:rsidRPr="008233EA" w:rsidRDefault="00471856" w:rsidP="00FF6D00">
      <w:pPr>
        <w:pStyle w:val="Standard"/>
        <w:spacing w:after="0"/>
        <w:ind w:left="426"/>
        <w:rPr>
          <w:rStyle w:val="jsgrdq"/>
          <w:rFonts w:ascii="Verdana" w:hAnsi="Verdana"/>
          <w:b/>
          <w:bCs/>
          <w:i/>
          <w:iCs/>
          <w:color w:val="279097"/>
          <w:sz w:val="20"/>
          <w:szCs w:val="20"/>
        </w:rPr>
      </w:pPr>
      <w:r>
        <w:rPr>
          <w:rStyle w:val="jsgrdq"/>
          <w:rFonts w:ascii="Verdana" w:hAnsi="Verdana"/>
          <w:b/>
          <w:bCs/>
          <w:i/>
          <w:iCs/>
          <w:color w:val="279097"/>
          <w:sz w:val="20"/>
          <w:szCs w:val="20"/>
        </w:rPr>
        <w:t xml:space="preserve">          </w:t>
      </w:r>
      <w:r w:rsidR="00B77BFB" w:rsidRPr="008233EA">
        <w:rPr>
          <w:rStyle w:val="jsgrdq"/>
          <w:rFonts w:ascii="Verdana" w:hAnsi="Verdana"/>
          <w:b/>
          <w:bCs/>
          <w:i/>
          <w:iCs/>
          <w:color w:val="279097"/>
          <w:sz w:val="20"/>
          <w:szCs w:val="20"/>
        </w:rPr>
        <w:t>Les</w:t>
      </w:r>
      <w:r w:rsidR="0017390B" w:rsidRPr="008233EA">
        <w:rPr>
          <w:rStyle w:val="jsgrdq"/>
          <w:rFonts w:ascii="Verdana" w:hAnsi="Verdana"/>
          <w:b/>
          <w:bCs/>
          <w:i/>
          <w:iCs/>
          <w:color w:val="279097"/>
          <w:sz w:val="20"/>
          <w:szCs w:val="20"/>
        </w:rPr>
        <w:t xml:space="preserve"> déchets contaminés à risque infectieux : DASRI </w:t>
      </w:r>
    </w:p>
    <w:p w14:paraId="6CC4D811" w14:textId="56A203C7" w:rsidR="00606772" w:rsidRPr="008233EA" w:rsidRDefault="00606772" w:rsidP="00606772">
      <w:pPr>
        <w:pStyle w:val="Standard"/>
        <w:spacing w:after="0"/>
        <w:rPr>
          <w:rStyle w:val="jsgrdq"/>
          <w:rFonts w:ascii="Verdana" w:hAnsi="Verdana"/>
          <w:color w:val="279097"/>
        </w:rPr>
      </w:pPr>
    </w:p>
    <w:p w14:paraId="2077D006" w14:textId="77777777" w:rsidR="00606772" w:rsidRPr="008233EA" w:rsidRDefault="00606772" w:rsidP="00606772">
      <w:pPr>
        <w:pStyle w:val="Standard"/>
        <w:spacing w:after="0"/>
        <w:rPr>
          <w:rStyle w:val="jsgrdq"/>
          <w:rFonts w:ascii="Verdana" w:hAnsi="Verdana"/>
          <w:color w:val="279097"/>
        </w:rPr>
      </w:pPr>
    </w:p>
    <w:p w14:paraId="73E378D7" w14:textId="77777777" w:rsidR="00FB555C" w:rsidRDefault="002D7A07" w:rsidP="00FB555C">
      <w:pPr>
        <w:pStyle w:val="Standard"/>
        <w:spacing w:after="0"/>
        <w:jc w:val="both"/>
        <w:rPr>
          <w:rFonts w:ascii="Verdana" w:hAnsi="Verdana"/>
          <w:color w:val="767171" w:themeColor="background2" w:themeShade="80"/>
          <w:sz w:val="16"/>
          <w:szCs w:val="16"/>
        </w:rPr>
      </w:pPr>
      <w:r w:rsidRPr="008233EA">
        <w:rPr>
          <w:rFonts w:ascii="Verdana" w:hAnsi="Verdana"/>
          <w:color w:val="767171" w:themeColor="background2" w:themeShade="80"/>
          <w:sz w:val="16"/>
          <w:szCs w:val="16"/>
        </w:rPr>
        <w:t>L’arrêté du 7 septembre 1999 et ses révisions successives précisent les conditions de tri, de conditionnement, de stockage, de collecte, de transport et d’élimination des DASRI.149</w:t>
      </w:r>
      <w:r w:rsidR="00FB555C">
        <w:rPr>
          <w:rFonts w:ascii="Verdana" w:hAnsi="Verdana"/>
          <w:color w:val="767171" w:themeColor="background2" w:themeShade="80"/>
          <w:sz w:val="16"/>
          <w:szCs w:val="16"/>
        </w:rPr>
        <w:t>.</w:t>
      </w:r>
    </w:p>
    <w:p w14:paraId="1D7477BA" w14:textId="77777777" w:rsidR="00FB555C" w:rsidRDefault="00FB555C" w:rsidP="00FB555C">
      <w:pPr>
        <w:pStyle w:val="Standard"/>
        <w:spacing w:after="0"/>
        <w:jc w:val="both"/>
        <w:rPr>
          <w:rFonts w:ascii="Verdana" w:hAnsi="Verdana"/>
          <w:color w:val="767171" w:themeColor="background2" w:themeShade="80"/>
          <w:sz w:val="16"/>
          <w:szCs w:val="16"/>
        </w:rPr>
      </w:pPr>
    </w:p>
    <w:p w14:paraId="42B21590" w14:textId="26A83135" w:rsidR="002D7A07" w:rsidRPr="008233EA" w:rsidRDefault="002D7A07" w:rsidP="00FB555C">
      <w:pPr>
        <w:pStyle w:val="Standard"/>
        <w:spacing w:after="0"/>
        <w:jc w:val="both"/>
        <w:rPr>
          <w:rFonts w:ascii="Verdana" w:hAnsi="Verdana"/>
          <w:color w:val="767171" w:themeColor="background2" w:themeShade="80"/>
          <w:sz w:val="16"/>
          <w:szCs w:val="16"/>
        </w:rPr>
      </w:pPr>
      <w:r w:rsidRPr="008233EA">
        <w:rPr>
          <w:rFonts w:ascii="Verdana" w:hAnsi="Verdana"/>
          <w:color w:val="767171" w:themeColor="background2" w:themeShade="80"/>
          <w:sz w:val="16"/>
          <w:szCs w:val="16"/>
        </w:rPr>
        <w:t>Les DASRI présentent un risque pour le praticien, les employés, les patients, les personnels de collecte et de traitement des déchets, le public et l’environnement</w:t>
      </w:r>
      <w:r w:rsidR="004061D9" w:rsidRPr="008233EA">
        <w:rPr>
          <w:rFonts w:ascii="Verdana" w:hAnsi="Verdana"/>
          <w:color w:val="767171" w:themeColor="background2" w:themeShade="80"/>
          <w:sz w:val="16"/>
          <w:szCs w:val="16"/>
        </w:rPr>
        <w:t>.</w:t>
      </w:r>
    </w:p>
    <w:p w14:paraId="4D1411AF" w14:textId="151ADE52" w:rsidR="004A3348" w:rsidRPr="008233EA" w:rsidRDefault="004A3348" w:rsidP="00FB555C">
      <w:pPr>
        <w:pStyle w:val="Standard"/>
        <w:spacing w:after="0"/>
        <w:rPr>
          <w:rStyle w:val="jsgrdq"/>
          <w:rFonts w:ascii="Verdana" w:hAnsi="Verdana"/>
          <w:color w:val="7F7F7F" w:themeColor="text1" w:themeTint="80"/>
        </w:rPr>
      </w:pPr>
    </w:p>
    <w:p w14:paraId="74046931" w14:textId="6CAE5D40" w:rsidR="004061D9" w:rsidRPr="00FB555C" w:rsidRDefault="004A3348" w:rsidP="00FB555C">
      <w:pPr>
        <w:pStyle w:val="Standard"/>
        <w:numPr>
          <w:ilvl w:val="0"/>
          <w:numId w:val="30"/>
        </w:numPr>
        <w:spacing w:after="0"/>
        <w:rPr>
          <w:rStyle w:val="jsgrdq"/>
          <w:rFonts w:ascii="Verdana" w:hAnsi="Verdana"/>
          <w:color w:val="7F7F7F" w:themeColor="text1" w:themeTint="80"/>
          <w:sz w:val="16"/>
          <w:szCs w:val="16"/>
        </w:rPr>
      </w:pPr>
      <w:r w:rsidRPr="00FB555C">
        <w:rPr>
          <w:rStyle w:val="jsgrdq"/>
          <w:rFonts w:ascii="Verdana" w:hAnsi="Verdana"/>
          <w:color w:val="279097"/>
          <w:sz w:val="16"/>
          <w:szCs w:val="16"/>
        </w:rPr>
        <w:t>Les déchets présentant un risque</w:t>
      </w:r>
      <w:r w:rsidR="002D7A07" w:rsidRPr="00FB555C">
        <w:rPr>
          <w:rStyle w:val="jsgrdq"/>
          <w:rFonts w:ascii="Verdana" w:hAnsi="Verdana"/>
          <w:color w:val="279097"/>
          <w:sz w:val="16"/>
          <w:szCs w:val="16"/>
        </w:rPr>
        <w:t xml:space="preserve"> </w:t>
      </w:r>
      <w:r w:rsidRPr="00FB555C">
        <w:rPr>
          <w:rStyle w:val="jsgrdq"/>
          <w:rFonts w:ascii="Verdana" w:hAnsi="Verdana"/>
          <w:color w:val="279097"/>
          <w:sz w:val="16"/>
          <w:szCs w:val="16"/>
        </w:rPr>
        <w:t>infectieux</w:t>
      </w:r>
      <w:r w:rsidR="00FB555C">
        <w:rPr>
          <w:rStyle w:val="jsgrdq"/>
          <w:rFonts w:ascii="Verdana" w:hAnsi="Verdana"/>
          <w:color w:val="279097"/>
          <w:sz w:val="16"/>
          <w:szCs w:val="16"/>
        </w:rPr>
        <w:t>.</w:t>
      </w:r>
    </w:p>
    <w:p w14:paraId="4072ADF9" w14:textId="3E69FE08" w:rsidR="00FB555C" w:rsidRDefault="00ED559F" w:rsidP="00FB555C">
      <w:pPr>
        <w:pStyle w:val="Standard"/>
        <w:spacing w:after="0"/>
        <w:ind w:left="426"/>
        <w:jc w:val="both"/>
        <w:rPr>
          <w:rStyle w:val="jsgrdq"/>
          <w:rFonts w:ascii="Verdana" w:hAnsi="Verdana"/>
          <w:color w:val="7F7F7F" w:themeColor="text1" w:themeTint="80"/>
          <w:sz w:val="20"/>
          <w:szCs w:val="20"/>
        </w:rPr>
      </w:pPr>
      <w:r w:rsidRPr="008233EA">
        <w:rPr>
          <w:rStyle w:val="jsgrdq"/>
          <w:rFonts w:ascii="Verdana" w:hAnsi="Verdana"/>
          <w:color w:val="7F7F7F" w:themeColor="text1" w:themeTint="80"/>
          <w:sz w:val="16"/>
          <w:szCs w:val="16"/>
        </w:rPr>
        <w:t>D</w:t>
      </w:r>
      <w:r w:rsidR="004A3348" w:rsidRPr="008233EA">
        <w:rPr>
          <w:rStyle w:val="jsgrdq"/>
          <w:rFonts w:ascii="Verdana" w:hAnsi="Verdana"/>
          <w:color w:val="7F7F7F" w:themeColor="text1" w:themeTint="80"/>
          <w:sz w:val="16"/>
          <w:szCs w:val="16"/>
        </w:rPr>
        <w:t>u fait qu’ils contiennent des</w:t>
      </w:r>
      <w:r w:rsidRPr="008233EA">
        <w:rPr>
          <w:rStyle w:val="jsgrdq"/>
          <w:rFonts w:ascii="Verdana" w:hAnsi="Verdana"/>
          <w:color w:val="7F7F7F" w:themeColor="text1" w:themeTint="80"/>
          <w:sz w:val="16"/>
          <w:szCs w:val="16"/>
        </w:rPr>
        <w:t xml:space="preserve"> </w:t>
      </w:r>
      <w:r w:rsidR="004A3348" w:rsidRPr="008233EA">
        <w:rPr>
          <w:rStyle w:val="jsgrdq"/>
          <w:rFonts w:ascii="Verdana" w:hAnsi="Verdana"/>
          <w:color w:val="7F7F7F" w:themeColor="text1" w:themeTint="80"/>
          <w:sz w:val="16"/>
          <w:szCs w:val="16"/>
        </w:rPr>
        <w:t>microorganismes viables ou leurs toxines,</w:t>
      </w:r>
      <w:r w:rsidR="002D7A07" w:rsidRPr="008233EA">
        <w:rPr>
          <w:rStyle w:val="jsgrdq"/>
          <w:rFonts w:ascii="Verdana" w:hAnsi="Verdana"/>
          <w:color w:val="7F7F7F" w:themeColor="text1" w:themeTint="80"/>
          <w:sz w:val="16"/>
          <w:szCs w:val="16"/>
        </w:rPr>
        <w:t xml:space="preserve"> </w:t>
      </w:r>
      <w:r w:rsidR="004A3348" w:rsidRPr="008233EA">
        <w:rPr>
          <w:rStyle w:val="jsgrdq"/>
          <w:rFonts w:ascii="Verdana" w:hAnsi="Verdana"/>
          <w:color w:val="7F7F7F" w:themeColor="text1" w:themeTint="80"/>
          <w:sz w:val="16"/>
          <w:szCs w:val="16"/>
        </w:rPr>
        <w:t>dont on sait ou dont on a de bonnes raisons</w:t>
      </w:r>
      <w:r w:rsidR="004061D9" w:rsidRPr="008233EA">
        <w:rPr>
          <w:rStyle w:val="jsgrdq"/>
          <w:rFonts w:ascii="Verdana" w:hAnsi="Verdana"/>
          <w:color w:val="7F7F7F" w:themeColor="text1" w:themeTint="80"/>
          <w:sz w:val="20"/>
          <w:szCs w:val="20"/>
        </w:rPr>
        <w:t xml:space="preserve"> </w:t>
      </w:r>
      <w:r w:rsidR="004A3348" w:rsidRPr="008233EA">
        <w:rPr>
          <w:rStyle w:val="jsgrdq"/>
          <w:rFonts w:ascii="Verdana" w:hAnsi="Verdana"/>
          <w:color w:val="7F7F7F" w:themeColor="text1" w:themeTint="80"/>
          <w:sz w:val="16"/>
          <w:szCs w:val="16"/>
        </w:rPr>
        <w:t>de croire qu’en raison de leur nature, de leur</w:t>
      </w:r>
      <w:r w:rsidR="002D7A07" w:rsidRPr="008233EA">
        <w:rPr>
          <w:rStyle w:val="jsgrdq"/>
          <w:rFonts w:ascii="Verdana" w:hAnsi="Verdana"/>
          <w:color w:val="7F7F7F" w:themeColor="text1" w:themeTint="80"/>
          <w:sz w:val="16"/>
          <w:szCs w:val="16"/>
        </w:rPr>
        <w:t xml:space="preserve"> </w:t>
      </w:r>
      <w:r w:rsidR="004A3348" w:rsidRPr="008233EA">
        <w:rPr>
          <w:rStyle w:val="jsgrdq"/>
          <w:rFonts w:ascii="Verdana" w:hAnsi="Verdana"/>
          <w:color w:val="7F7F7F" w:themeColor="text1" w:themeTint="80"/>
          <w:sz w:val="16"/>
          <w:szCs w:val="16"/>
        </w:rPr>
        <w:t>quantité ou de leur métabolisme, ils causent</w:t>
      </w:r>
      <w:r w:rsidR="002D7A07" w:rsidRPr="008233EA">
        <w:rPr>
          <w:rStyle w:val="jsgrdq"/>
          <w:rFonts w:ascii="Verdana" w:hAnsi="Verdana"/>
          <w:color w:val="7F7F7F" w:themeColor="text1" w:themeTint="80"/>
          <w:sz w:val="16"/>
          <w:szCs w:val="16"/>
        </w:rPr>
        <w:t xml:space="preserve"> </w:t>
      </w:r>
      <w:r w:rsidR="004A3348" w:rsidRPr="008233EA">
        <w:rPr>
          <w:rStyle w:val="jsgrdq"/>
          <w:rFonts w:ascii="Verdana" w:hAnsi="Verdana"/>
          <w:color w:val="7F7F7F" w:themeColor="text1" w:themeTint="80"/>
          <w:sz w:val="16"/>
          <w:szCs w:val="16"/>
        </w:rPr>
        <w:t>la maladie chez l’homme ou</w:t>
      </w:r>
      <w:r w:rsidRPr="008233EA">
        <w:rPr>
          <w:rStyle w:val="jsgrdq"/>
          <w:rFonts w:ascii="Verdana" w:hAnsi="Verdana"/>
          <w:color w:val="7F7F7F" w:themeColor="text1" w:themeTint="80"/>
          <w:sz w:val="16"/>
          <w:szCs w:val="16"/>
        </w:rPr>
        <w:t xml:space="preserve"> </w:t>
      </w:r>
      <w:r w:rsidR="004A3348" w:rsidRPr="008233EA">
        <w:rPr>
          <w:rStyle w:val="jsgrdq"/>
          <w:rFonts w:ascii="Verdana" w:hAnsi="Verdana"/>
          <w:color w:val="7F7F7F" w:themeColor="text1" w:themeTint="80"/>
          <w:sz w:val="16"/>
          <w:szCs w:val="16"/>
        </w:rPr>
        <w:t>chez d’autres</w:t>
      </w:r>
      <w:r w:rsidR="002D7A07" w:rsidRPr="008233EA">
        <w:rPr>
          <w:rStyle w:val="jsgrdq"/>
          <w:rFonts w:ascii="Verdana" w:hAnsi="Verdana"/>
          <w:color w:val="7F7F7F" w:themeColor="text1" w:themeTint="80"/>
          <w:sz w:val="16"/>
          <w:szCs w:val="16"/>
        </w:rPr>
        <w:t xml:space="preserve"> </w:t>
      </w:r>
      <w:r w:rsidR="004A3348" w:rsidRPr="008233EA">
        <w:rPr>
          <w:rStyle w:val="jsgrdq"/>
          <w:rFonts w:ascii="Verdana" w:hAnsi="Verdana"/>
          <w:color w:val="7F7F7F" w:themeColor="text1" w:themeTint="80"/>
          <w:sz w:val="16"/>
          <w:szCs w:val="16"/>
        </w:rPr>
        <w:t>organismes vivants</w:t>
      </w:r>
      <w:r w:rsidR="004061D9" w:rsidRPr="008233EA">
        <w:rPr>
          <w:rStyle w:val="jsgrdq"/>
          <w:rFonts w:ascii="Verdana" w:hAnsi="Verdana"/>
          <w:color w:val="7F7F7F" w:themeColor="text1" w:themeTint="80"/>
          <w:sz w:val="16"/>
          <w:szCs w:val="16"/>
        </w:rPr>
        <w:t>.</w:t>
      </w:r>
    </w:p>
    <w:p w14:paraId="4433B916" w14:textId="77777777" w:rsidR="00FB555C" w:rsidRDefault="00FB555C" w:rsidP="00FB555C">
      <w:pPr>
        <w:pStyle w:val="Standard"/>
        <w:spacing w:after="0"/>
        <w:ind w:left="426"/>
        <w:jc w:val="both"/>
        <w:rPr>
          <w:rStyle w:val="jsgrdq"/>
          <w:rFonts w:ascii="Verdana" w:hAnsi="Verdana"/>
          <w:color w:val="7F7F7F" w:themeColor="text1" w:themeTint="80"/>
          <w:sz w:val="20"/>
          <w:szCs w:val="20"/>
        </w:rPr>
      </w:pPr>
    </w:p>
    <w:p w14:paraId="1376CA28" w14:textId="1BA46386" w:rsidR="004A3348" w:rsidRPr="00471856" w:rsidRDefault="004A3348" w:rsidP="00FB555C">
      <w:pPr>
        <w:pStyle w:val="Standard"/>
        <w:numPr>
          <w:ilvl w:val="0"/>
          <w:numId w:val="30"/>
        </w:numPr>
        <w:spacing w:after="0"/>
        <w:jc w:val="both"/>
        <w:rPr>
          <w:rStyle w:val="jsgrdq"/>
          <w:rFonts w:ascii="Verdana" w:hAnsi="Verdana"/>
          <w:color w:val="3B3838" w:themeColor="background2" w:themeShade="40"/>
          <w:sz w:val="20"/>
          <w:szCs w:val="20"/>
        </w:rPr>
      </w:pPr>
      <w:r w:rsidRPr="00FB555C">
        <w:rPr>
          <w:rStyle w:val="jsgrdq"/>
          <w:rFonts w:ascii="Verdana" w:hAnsi="Verdana"/>
          <w:color w:val="279097"/>
          <w:sz w:val="16"/>
          <w:szCs w:val="16"/>
        </w:rPr>
        <w:t>Même en l’absence de risque infectieux,</w:t>
      </w:r>
      <w:r w:rsidRPr="008233EA">
        <w:rPr>
          <w:rStyle w:val="jsgrdq"/>
          <w:rFonts w:ascii="Verdana" w:hAnsi="Verdana"/>
          <w:color w:val="7F7F7F" w:themeColor="text1" w:themeTint="80"/>
          <w:sz w:val="16"/>
          <w:szCs w:val="16"/>
        </w:rPr>
        <w:t xml:space="preserve"> les</w:t>
      </w:r>
      <w:r w:rsidR="002D7A07" w:rsidRPr="008233EA">
        <w:rPr>
          <w:rStyle w:val="jsgrdq"/>
          <w:rFonts w:ascii="Verdana" w:hAnsi="Verdana"/>
          <w:color w:val="7F7F7F" w:themeColor="text1" w:themeTint="80"/>
          <w:sz w:val="16"/>
          <w:szCs w:val="16"/>
        </w:rPr>
        <w:t xml:space="preserve"> </w:t>
      </w:r>
      <w:r w:rsidRPr="008233EA">
        <w:rPr>
          <w:rStyle w:val="jsgrdq"/>
          <w:rFonts w:ascii="Verdana" w:hAnsi="Verdana"/>
          <w:color w:val="7F7F7F" w:themeColor="text1" w:themeTint="80"/>
          <w:sz w:val="16"/>
          <w:szCs w:val="16"/>
        </w:rPr>
        <w:t>déchets relevant de l’une des catégories</w:t>
      </w:r>
      <w:r w:rsidR="002D7A07" w:rsidRPr="008233EA">
        <w:rPr>
          <w:rStyle w:val="jsgrdq"/>
          <w:rFonts w:ascii="Verdana" w:hAnsi="Verdana"/>
          <w:color w:val="7F7F7F" w:themeColor="text1" w:themeTint="80"/>
          <w:sz w:val="16"/>
          <w:szCs w:val="16"/>
        </w:rPr>
        <w:t xml:space="preserve"> </w:t>
      </w:r>
      <w:r w:rsidRPr="008233EA">
        <w:rPr>
          <w:rStyle w:val="jsgrdq"/>
          <w:rFonts w:ascii="Verdana" w:hAnsi="Verdana"/>
          <w:color w:val="7F7F7F" w:themeColor="text1" w:themeTint="80"/>
          <w:sz w:val="16"/>
          <w:szCs w:val="16"/>
        </w:rPr>
        <w:t>suivantes</w:t>
      </w:r>
      <w:r w:rsidR="00A74093" w:rsidRPr="008233EA">
        <w:rPr>
          <w:rStyle w:val="jsgrdq"/>
          <w:rFonts w:ascii="Verdana" w:hAnsi="Verdana"/>
          <w:color w:val="7F7F7F" w:themeColor="text1" w:themeTint="80"/>
          <w:sz w:val="16"/>
          <w:szCs w:val="16"/>
        </w:rPr>
        <w:t> </w:t>
      </w:r>
      <w:r w:rsidR="004A6CD5" w:rsidRPr="00471856">
        <w:rPr>
          <w:rStyle w:val="jsgrdq"/>
          <w:rFonts w:ascii="Verdana" w:hAnsi="Verdana"/>
          <w:color w:val="3B3838" w:themeColor="background2" w:themeShade="40"/>
          <w:sz w:val="16"/>
          <w:szCs w:val="16"/>
        </w:rPr>
        <w:t xml:space="preserve">sont DASRI </w:t>
      </w:r>
      <w:r w:rsidR="00A74093" w:rsidRPr="00471856">
        <w:rPr>
          <w:rStyle w:val="jsgrdq"/>
          <w:rFonts w:ascii="Verdana" w:hAnsi="Verdana"/>
          <w:color w:val="3B3838" w:themeColor="background2" w:themeShade="40"/>
          <w:sz w:val="16"/>
          <w:szCs w:val="16"/>
        </w:rPr>
        <w:t>:</w:t>
      </w:r>
    </w:p>
    <w:p w14:paraId="3E1BD00C" w14:textId="7AC9805B" w:rsidR="004A3348" w:rsidRPr="008233EA" w:rsidRDefault="004A3348" w:rsidP="00502966">
      <w:pPr>
        <w:pStyle w:val="Standard"/>
        <w:numPr>
          <w:ilvl w:val="1"/>
          <w:numId w:val="31"/>
        </w:numPr>
        <w:spacing w:after="0"/>
        <w:jc w:val="both"/>
        <w:rPr>
          <w:rStyle w:val="jsgrdq"/>
          <w:rFonts w:ascii="Verdana" w:hAnsi="Verdana"/>
          <w:color w:val="7F7F7F" w:themeColor="text1" w:themeTint="80"/>
          <w:sz w:val="16"/>
          <w:szCs w:val="16"/>
        </w:rPr>
      </w:pPr>
      <w:r w:rsidRPr="008233EA">
        <w:rPr>
          <w:rStyle w:val="jsgrdq"/>
          <w:rFonts w:ascii="Verdana" w:hAnsi="Verdana"/>
          <w:color w:val="7F7F7F" w:themeColor="text1" w:themeTint="80"/>
          <w:sz w:val="16"/>
          <w:szCs w:val="16"/>
        </w:rPr>
        <w:t>Matériels et matériaux piquants ou</w:t>
      </w:r>
      <w:r w:rsidR="002D7A07" w:rsidRPr="008233EA">
        <w:rPr>
          <w:rStyle w:val="jsgrdq"/>
          <w:rFonts w:ascii="Verdana" w:hAnsi="Verdana"/>
          <w:color w:val="7F7F7F" w:themeColor="text1" w:themeTint="80"/>
          <w:sz w:val="16"/>
          <w:szCs w:val="16"/>
        </w:rPr>
        <w:t xml:space="preserve"> </w:t>
      </w:r>
      <w:r w:rsidRPr="008233EA">
        <w:rPr>
          <w:rStyle w:val="jsgrdq"/>
          <w:rFonts w:ascii="Verdana" w:hAnsi="Verdana"/>
          <w:color w:val="7F7F7F" w:themeColor="text1" w:themeTint="80"/>
          <w:sz w:val="16"/>
          <w:szCs w:val="16"/>
        </w:rPr>
        <w:t>coupants destinés à l’abandon,</w:t>
      </w:r>
      <w:r w:rsidR="00ED559F" w:rsidRPr="008233EA">
        <w:rPr>
          <w:rStyle w:val="jsgrdq"/>
          <w:rFonts w:ascii="Verdana" w:hAnsi="Verdana"/>
          <w:color w:val="7F7F7F" w:themeColor="text1" w:themeTint="80"/>
          <w:sz w:val="16"/>
          <w:szCs w:val="16"/>
        </w:rPr>
        <w:t xml:space="preserve"> </w:t>
      </w:r>
      <w:r w:rsidRPr="008233EA">
        <w:rPr>
          <w:rStyle w:val="jsgrdq"/>
          <w:rFonts w:ascii="Verdana" w:hAnsi="Verdana"/>
          <w:color w:val="7F7F7F" w:themeColor="text1" w:themeTint="80"/>
          <w:sz w:val="16"/>
          <w:szCs w:val="16"/>
        </w:rPr>
        <w:t>qu’ils aient</w:t>
      </w:r>
      <w:r w:rsidR="00D428EE" w:rsidRPr="008233EA">
        <w:rPr>
          <w:rStyle w:val="jsgrdq"/>
          <w:rFonts w:ascii="Verdana" w:hAnsi="Verdana"/>
          <w:color w:val="7F7F7F" w:themeColor="text1" w:themeTint="80"/>
          <w:sz w:val="16"/>
          <w:szCs w:val="16"/>
        </w:rPr>
        <w:t xml:space="preserve"> </w:t>
      </w:r>
      <w:r w:rsidRPr="008233EA">
        <w:rPr>
          <w:rStyle w:val="jsgrdq"/>
          <w:rFonts w:ascii="Verdana" w:hAnsi="Verdana"/>
          <w:color w:val="7F7F7F" w:themeColor="text1" w:themeTint="80"/>
          <w:sz w:val="16"/>
          <w:szCs w:val="16"/>
        </w:rPr>
        <w:t>été ou non en contact avec un</w:t>
      </w:r>
      <w:r w:rsidR="00A74093" w:rsidRPr="008233EA">
        <w:rPr>
          <w:rStyle w:val="jsgrdq"/>
          <w:rFonts w:ascii="Verdana" w:hAnsi="Verdana"/>
          <w:color w:val="7F7F7F" w:themeColor="text1" w:themeTint="80"/>
          <w:sz w:val="16"/>
          <w:szCs w:val="16"/>
        </w:rPr>
        <w:t xml:space="preserve"> </w:t>
      </w:r>
      <w:r w:rsidRPr="008233EA">
        <w:rPr>
          <w:rStyle w:val="jsgrdq"/>
          <w:rFonts w:ascii="Verdana" w:hAnsi="Verdana"/>
          <w:color w:val="7F7F7F" w:themeColor="text1" w:themeTint="80"/>
          <w:sz w:val="16"/>
          <w:szCs w:val="16"/>
        </w:rPr>
        <w:t>produit</w:t>
      </w:r>
      <w:r w:rsidR="002D7A07" w:rsidRPr="008233EA">
        <w:rPr>
          <w:rStyle w:val="jsgrdq"/>
          <w:rFonts w:ascii="Verdana" w:hAnsi="Verdana"/>
          <w:color w:val="7F7F7F" w:themeColor="text1" w:themeTint="80"/>
          <w:sz w:val="16"/>
          <w:szCs w:val="16"/>
        </w:rPr>
        <w:t xml:space="preserve"> </w:t>
      </w:r>
      <w:r w:rsidRPr="008233EA">
        <w:rPr>
          <w:rStyle w:val="jsgrdq"/>
          <w:rFonts w:ascii="Verdana" w:hAnsi="Verdana"/>
          <w:color w:val="7F7F7F" w:themeColor="text1" w:themeTint="80"/>
          <w:sz w:val="16"/>
          <w:szCs w:val="16"/>
        </w:rPr>
        <w:t>biologique</w:t>
      </w:r>
      <w:r w:rsidR="00A74093" w:rsidRPr="008233EA">
        <w:rPr>
          <w:rStyle w:val="jsgrdq"/>
          <w:rFonts w:ascii="Verdana" w:hAnsi="Verdana"/>
          <w:color w:val="7F7F7F" w:themeColor="text1" w:themeTint="80"/>
          <w:sz w:val="16"/>
          <w:szCs w:val="16"/>
        </w:rPr>
        <w:t>.</w:t>
      </w:r>
    </w:p>
    <w:p w14:paraId="4B901CC0" w14:textId="03F45911" w:rsidR="004A3348" w:rsidRPr="008233EA" w:rsidRDefault="004A3348" w:rsidP="00502966">
      <w:pPr>
        <w:pStyle w:val="Standard"/>
        <w:numPr>
          <w:ilvl w:val="1"/>
          <w:numId w:val="31"/>
        </w:numPr>
        <w:spacing w:after="0"/>
        <w:jc w:val="both"/>
        <w:rPr>
          <w:rStyle w:val="jsgrdq"/>
          <w:rFonts w:ascii="Verdana" w:hAnsi="Verdana"/>
          <w:color w:val="7F7F7F" w:themeColor="text1" w:themeTint="80"/>
          <w:sz w:val="16"/>
          <w:szCs w:val="16"/>
        </w:rPr>
      </w:pPr>
      <w:r w:rsidRPr="008233EA">
        <w:rPr>
          <w:rStyle w:val="jsgrdq"/>
          <w:rFonts w:ascii="Verdana" w:hAnsi="Verdana"/>
          <w:color w:val="7F7F7F" w:themeColor="text1" w:themeTint="80"/>
          <w:sz w:val="16"/>
          <w:szCs w:val="16"/>
        </w:rPr>
        <w:t>Produits sanguins à usage thérapeutique</w:t>
      </w:r>
      <w:r w:rsidR="002D7A07" w:rsidRPr="008233EA">
        <w:rPr>
          <w:rStyle w:val="jsgrdq"/>
          <w:rFonts w:ascii="Verdana" w:hAnsi="Verdana"/>
          <w:color w:val="7F7F7F" w:themeColor="text1" w:themeTint="80"/>
          <w:sz w:val="16"/>
          <w:szCs w:val="16"/>
        </w:rPr>
        <w:t xml:space="preserve"> </w:t>
      </w:r>
      <w:r w:rsidRPr="008233EA">
        <w:rPr>
          <w:rStyle w:val="jsgrdq"/>
          <w:rFonts w:ascii="Verdana" w:hAnsi="Verdana"/>
          <w:color w:val="7F7F7F" w:themeColor="text1" w:themeTint="80"/>
          <w:sz w:val="16"/>
          <w:szCs w:val="16"/>
        </w:rPr>
        <w:t>incomplètement utilisés ou arrivés à</w:t>
      </w:r>
      <w:r w:rsidR="002D7A07" w:rsidRPr="008233EA">
        <w:rPr>
          <w:rStyle w:val="jsgrdq"/>
          <w:rFonts w:ascii="Verdana" w:hAnsi="Verdana"/>
          <w:color w:val="7F7F7F" w:themeColor="text1" w:themeTint="80"/>
          <w:sz w:val="16"/>
          <w:szCs w:val="16"/>
        </w:rPr>
        <w:t xml:space="preserve"> </w:t>
      </w:r>
      <w:r w:rsidRPr="008233EA">
        <w:rPr>
          <w:rStyle w:val="jsgrdq"/>
          <w:rFonts w:ascii="Verdana" w:hAnsi="Verdana"/>
          <w:color w:val="7F7F7F" w:themeColor="text1" w:themeTint="80"/>
          <w:sz w:val="16"/>
          <w:szCs w:val="16"/>
        </w:rPr>
        <w:t>péremption</w:t>
      </w:r>
      <w:r w:rsidR="00A74093" w:rsidRPr="008233EA">
        <w:rPr>
          <w:rStyle w:val="jsgrdq"/>
          <w:rFonts w:ascii="Verdana" w:hAnsi="Verdana"/>
          <w:color w:val="7F7F7F" w:themeColor="text1" w:themeTint="80"/>
          <w:sz w:val="16"/>
          <w:szCs w:val="16"/>
        </w:rPr>
        <w:t>.</w:t>
      </w:r>
    </w:p>
    <w:p w14:paraId="0EB4E2AE" w14:textId="500982D1" w:rsidR="004A3348" w:rsidRPr="008233EA" w:rsidRDefault="004A3348" w:rsidP="00502966">
      <w:pPr>
        <w:pStyle w:val="Standard"/>
        <w:numPr>
          <w:ilvl w:val="1"/>
          <w:numId w:val="31"/>
        </w:numPr>
        <w:spacing w:after="0"/>
        <w:jc w:val="both"/>
        <w:rPr>
          <w:rStyle w:val="jsgrdq"/>
          <w:rFonts w:ascii="Verdana" w:hAnsi="Verdana"/>
          <w:color w:val="7F7F7F" w:themeColor="text1" w:themeTint="80"/>
          <w:sz w:val="16"/>
          <w:szCs w:val="16"/>
        </w:rPr>
      </w:pPr>
      <w:r w:rsidRPr="008233EA">
        <w:rPr>
          <w:rStyle w:val="jsgrdq"/>
          <w:rFonts w:ascii="Verdana" w:hAnsi="Verdana"/>
          <w:color w:val="7F7F7F" w:themeColor="text1" w:themeTint="80"/>
          <w:sz w:val="16"/>
          <w:szCs w:val="16"/>
        </w:rPr>
        <w:t>Déchets anatomiques humains,</w:t>
      </w:r>
      <w:r w:rsidR="002D7A07" w:rsidRPr="008233EA">
        <w:rPr>
          <w:rStyle w:val="jsgrdq"/>
          <w:rFonts w:ascii="Verdana" w:hAnsi="Verdana"/>
          <w:color w:val="7F7F7F" w:themeColor="text1" w:themeTint="80"/>
          <w:sz w:val="16"/>
          <w:szCs w:val="16"/>
        </w:rPr>
        <w:t xml:space="preserve"> </w:t>
      </w:r>
      <w:r w:rsidRPr="008233EA">
        <w:rPr>
          <w:rStyle w:val="jsgrdq"/>
          <w:rFonts w:ascii="Verdana" w:hAnsi="Verdana"/>
          <w:color w:val="7F7F7F" w:themeColor="text1" w:themeTint="80"/>
          <w:sz w:val="16"/>
          <w:szCs w:val="16"/>
        </w:rPr>
        <w:t>correspondant à des fragments humains</w:t>
      </w:r>
      <w:r w:rsidR="00ED559F" w:rsidRPr="008233EA">
        <w:rPr>
          <w:rStyle w:val="jsgrdq"/>
          <w:rFonts w:ascii="Verdana" w:hAnsi="Verdana"/>
          <w:color w:val="7F7F7F" w:themeColor="text1" w:themeTint="80"/>
          <w:sz w:val="16"/>
          <w:szCs w:val="16"/>
        </w:rPr>
        <w:t xml:space="preserve"> </w:t>
      </w:r>
      <w:r w:rsidRPr="008233EA">
        <w:rPr>
          <w:rStyle w:val="jsgrdq"/>
          <w:rFonts w:ascii="Verdana" w:hAnsi="Verdana"/>
          <w:color w:val="7F7F7F" w:themeColor="text1" w:themeTint="80"/>
          <w:sz w:val="16"/>
          <w:szCs w:val="16"/>
        </w:rPr>
        <w:t>non aisément identifiables.</w:t>
      </w:r>
    </w:p>
    <w:p w14:paraId="789BD54A" w14:textId="5F6DF17E" w:rsidR="00D428EE" w:rsidRPr="008233EA" w:rsidRDefault="00A74093" w:rsidP="00502966">
      <w:pPr>
        <w:pStyle w:val="Standard"/>
        <w:numPr>
          <w:ilvl w:val="1"/>
          <w:numId w:val="31"/>
        </w:numPr>
        <w:spacing w:after="0"/>
        <w:jc w:val="both"/>
        <w:rPr>
          <w:rStyle w:val="jsgrdq"/>
          <w:rFonts w:ascii="Verdana" w:hAnsi="Verdana"/>
          <w:color w:val="7F7F7F" w:themeColor="text1" w:themeTint="80"/>
          <w:sz w:val="16"/>
          <w:szCs w:val="16"/>
        </w:rPr>
      </w:pPr>
      <w:r w:rsidRPr="008233EA">
        <w:rPr>
          <w:rStyle w:val="jsgrdq"/>
          <w:rFonts w:ascii="Verdana" w:hAnsi="Verdana"/>
          <w:color w:val="7F7F7F" w:themeColor="text1" w:themeTint="80"/>
          <w:sz w:val="16"/>
          <w:szCs w:val="16"/>
        </w:rPr>
        <w:t>A</w:t>
      </w:r>
      <w:r w:rsidR="00D428EE" w:rsidRPr="008233EA">
        <w:rPr>
          <w:rStyle w:val="jsgrdq"/>
          <w:rFonts w:ascii="Verdana" w:hAnsi="Verdana"/>
          <w:color w:val="7F7F7F" w:themeColor="text1" w:themeTint="80"/>
          <w:sz w:val="16"/>
          <w:szCs w:val="16"/>
        </w:rPr>
        <w:t>utres déchets (effluents, liquides biologiques, gants et seringues).</w:t>
      </w:r>
    </w:p>
    <w:p w14:paraId="145B43CD" w14:textId="77777777" w:rsidR="002D7A07" w:rsidRPr="008233EA" w:rsidRDefault="002D7A07" w:rsidP="005427D0">
      <w:pPr>
        <w:pStyle w:val="Standard"/>
        <w:spacing w:after="0"/>
        <w:rPr>
          <w:rStyle w:val="jsgrdq"/>
          <w:rFonts w:ascii="Verdana" w:hAnsi="Verdana"/>
          <w:color w:val="7F7F7F" w:themeColor="text1" w:themeTint="80"/>
          <w:sz w:val="20"/>
          <w:szCs w:val="20"/>
        </w:rPr>
      </w:pPr>
    </w:p>
    <w:p w14:paraId="785FDAC1" w14:textId="07F1B14F" w:rsidR="0017390B" w:rsidRPr="00B66596" w:rsidRDefault="0017390B" w:rsidP="0017390B">
      <w:pPr>
        <w:pStyle w:val="Standard"/>
        <w:spacing w:after="0"/>
        <w:rPr>
          <w:rStyle w:val="jsgrdq"/>
          <w:rFonts w:ascii="Verdana" w:hAnsi="Verdana"/>
          <w:color w:val="279097"/>
          <w:sz w:val="20"/>
          <w:szCs w:val="20"/>
          <w:u w:val="single"/>
        </w:rPr>
      </w:pPr>
      <w:r w:rsidRPr="00B66596">
        <w:rPr>
          <w:rStyle w:val="jsgrdq"/>
          <w:rFonts w:ascii="Verdana" w:hAnsi="Verdana"/>
          <w:color w:val="279097"/>
          <w:sz w:val="16"/>
          <w:szCs w:val="16"/>
          <w:u w:val="single"/>
        </w:rPr>
        <w:t>Le stockage des DASRI</w:t>
      </w:r>
      <w:r w:rsidR="00B77BFB" w:rsidRPr="00B66596">
        <w:rPr>
          <w:rStyle w:val="jsgrdq"/>
          <w:rFonts w:ascii="Verdana" w:hAnsi="Verdana"/>
          <w:color w:val="279097"/>
          <w:sz w:val="16"/>
          <w:szCs w:val="16"/>
          <w:u w:val="single"/>
        </w:rPr>
        <w:t>/</w:t>
      </w:r>
      <w:r w:rsidRPr="00B66596">
        <w:rPr>
          <w:rStyle w:val="jsgrdq"/>
          <w:rFonts w:ascii="Verdana" w:hAnsi="Verdana"/>
          <w:color w:val="279097"/>
          <w:sz w:val="16"/>
          <w:szCs w:val="16"/>
          <w:u w:val="single"/>
        </w:rPr>
        <w:t>périodicité des collectes</w:t>
      </w:r>
      <w:r w:rsidR="00B77BFB" w:rsidRPr="00B66596">
        <w:rPr>
          <w:rStyle w:val="jsgrdq"/>
          <w:rFonts w:ascii="Verdana" w:hAnsi="Verdana"/>
          <w:color w:val="279097"/>
          <w:sz w:val="16"/>
          <w:szCs w:val="16"/>
          <w:u w:val="single"/>
        </w:rPr>
        <w:t xml:space="preserve"> </w:t>
      </w:r>
      <w:r w:rsidRPr="00B66596">
        <w:rPr>
          <w:rStyle w:val="jsgrdq"/>
          <w:rFonts w:ascii="Verdana" w:hAnsi="Verdana"/>
          <w:color w:val="279097"/>
          <w:sz w:val="14"/>
          <w:szCs w:val="14"/>
          <w:u w:val="single"/>
        </w:rPr>
        <w:t>(Arrêté du 7 sept. 1999)</w:t>
      </w:r>
      <w:r w:rsidR="00DB3514" w:rsidRPr="00B66596">
        <w:rPr>
          <w:rStyle w:val="jsgrdq"/>
          <w:rFonts w:ascii="Verdana" w:hAnsi="Verdana"/>
          <w:color w:val="279097"/>
          <w:sz w:val="14"/>
          <w:szCs w:val="14"/>
          <w:u w:val="single"/>
        </w:rPr>
        <w:t>.</w:t>
      </w:r>
    </w:p>
    <w:p w14:paraId="21DCEA7D" w14:textId="77777777" w:rsidR="00B77BFB" w:rsidRPr="008233EA" w:rsidRDefault="00B77BFB" w:rsidP="0017390B">
      <w:pPr>
        <w:pStyle w:val="Standard"/>
        <w:spacing w:after="0"/>
        <w:rPr>
          <w:rStyle w:val="jsgrdq"/>
          <w:rFonts w:ascii="Verdana" w:hAnsi="Verdana"/>
          <w:color w:val="279097"/>
        </w:rPr>
      </w:pPr>
    </w:p>
    <w:p w14:paraId="3D079021" w14:textId="1C5F90DF" w:rsidR="001B4DBE" w:rsidRPr="00DB3514" w:rsidRDefault="00B77BFB" w:rsidP="0017390B">
      <w:pPr>
        <w:pStyle w:val="Standard"/>
        <w:numPr>
          <w:ilvl w:val="0"/>
          <w:numId w:val="22"/>
        </w:numPr>
        <w:spacing w:after="0"/>
        <w:ind w:left="567" w:hanging="425"/>
        <w:rPr>
          <w:rStyle w:val="jsgrdq"/>
          <w:rFonts w:ascii="Verdana" w:hAnsi="Verdana"/>
          <w:color w:val="279097"/>
          <w:sz w:val="16"/>
          <w:szCs w:val="16"/>
        </w:rPr>
      </w:pPr>
      <w:r w:rsidRPr="00DB3514">
        <w:rPr>
          <w:rStyle w:val="jsgrdq"/>
          <w:rFonts w:ascii="Verdana" w:hAnsi="Verdana"/>
          <w:color w:val="279097"/>
          <w:sz w:val="16"/>
          <w:szCs w:val="16"/>
        </w:rPr>
        <w:t>Plus de</w:t>
      </w:r>
      <w:r w:rsidR="0017390B" w:rsidRPr="00DB3514">
        <w:rPr>
          <w:rStyle w:val="jsgrdq"/>
          <w:rFonts w:ascii="Verdana" w:hAnsi="Verdana"/>
          <w:color w:val="279097"/>
          <w:sz w:val="16"/>
          <w:szCs w:val="16"/>
        </w:rPr>
        <w:t xml:space="preserve"> 5 K</w:t>
      </w:r>
      <w:r w:rsidR="00562D4D">
        <w:rPr>
          <w:rStyle w:val="jsgrdq"/>
          <w:rFonts w:ascii="Verdana" w:hAnsi="Verdana"/>
          <w:color w:val="279097"/>
          <w:sz w:val="16"/>
          <w:szCs w:val="16"/>
        </w:rPr>
        <w:t>g</w:t>
      </w:r>
      <w:r w:rsidR="0017390B" w:rsidRPr="00DB3514">
        <w:rPr>
          <w:rStyle w:val="jsgrdq"/>
          <w:rFonts w:ascii="Verdana" w:hAnsi="Verdana"/>
          <w:color w:val="279097"/>
          <w:sz w:val="16"/>
          <w:szCs w:val="16"/>
        </w:rPr>
        <w:t>/</w:t>
      </w:r>
      <w:r w:rsidR="00711A09" w:rsidRPr="00DB3514">
        <w:rPr>
          <w:rStyle w:val="jsgrdq"/>
          <w:rFonts w:ascii="Verdana" w:hAnsi="Verdana"/>
          <w:color w:val="279097"/>
          <w:sz w:val="16"/>
          <w:szCs w:val="16"/>
        </w:rPr>
        <w:t>mois</w:t>
      </w:r>
      <w:r w:rsidR="0017390B" w:rsidRPr="00DB3514">
        <w:rPr>
          <w:rStyle w:val="jsgrdq"/>
          <w:rFonts w:ascii="Verdana" w:hAnsi="Verdana"/>
          <w:color w:val="279097"/>
          <w:sz w:val="16"/>
          <w:szCs w:val="16"/>
        </w:rPr>
        <w:t xml:space="preserve"> : Local spécifique</w:t>
      </w:r>
    </w:p>
    <w:p w14:paraId="09B6FCC6" w14:textId="379E7587" w:rsidR="0017390B" w:rsidRPr="008233EA" w:rsidRDefault="00E56D85" w:rsidP="00411AAC">
      <w:pPr>
        <w:pStyle w:val="Standard"/>
        <w:numPr>
          <w:ilvl w:val="1"/>
          <w:numId w:val="22"/>
        </w:numPr>
        <w:spacing w:after="0"/>
        <w:contextualSpacing/>
        <w:jc w:val="both"/>
        <w:rPr>
          <w:rStyle w:val="jsgrdq"/>
          <w:rFonts w:ascii="Verdana" w:hAnsi="Verdana"/>
          <w:color w:val="7F7F7F" w:themeColor="text1" w:themeTint="80"/>
          <w:sz w:val="16"/>
          <w:szCs w:val="16"/>
        </w:rPr>
      </w:pPr>
      <w:r w:rsidRPr="008233EA">
        <w:rPr>
          <w:rStyle w:val="jsgrdq"/>
          <w:rFonts w:ascii="Verdana" w:hAnsi="Verdana"/>
          <w:color w:val="7F7F7F" w:themeColor="text1" w:themeTint="80"/>
          <w:sz w:val="16"/>
          <w:szCs w:val="16"/>
        </w:rPr>
        <w:t>Réglementation</w:t>
      </w:r>
      <w:r w:rsidR="0017390B" w:rsidRPr="008233EA">
        <w:rPr>
          <w:rStyle w:val="jsgrdq"/>
          <w:rFonts w:ascii="Verdana" w:hAnsi="Verdana"/>
          <w:color w:val="7F7F7F" w:themeColor="text1" w:themeTint="80"/>
          <w:sz w:val="16"/>
          <w:szCs w:val="16"/>
        </w:rPr>
        <w:t xml:space="preserve"> affichée sur la porte du local,</w:t>
      </w:r>
    </w:p>
    <w:p w14:paraId="66DBAAAC" w14:textId="52FB6501" w:rsidR="0017390B" w:rsidRPr="008233EA" w:rsidRDefault="00E56D85" w:rsidP="00411AAC">
      <w:pPr>
        <w:pStyle w:val="Standard"/>
        <w:numPr>
          <w:ilvl w:val="1"/>
          <w:numId w:val="22"/>
        </w:numPr>
        <w:spacing w:after="0"/>
        <w:contextualSpacing/>
        <w:jc w:val="both"/>
        <w:rPr>
          <w:rStyle w:val="jsgrdq"/>
          <w:rFonts w:ascii="Verdana" w:hAnsi="Verdana"/>
          <w:color w:val="7F7F7F" w:themeColor="text1" w:themeTint="80"/>
          <w:sz w:val="16"/>
          <w:szCs w:val="16"/>
        </w:rPr>
      </w:pPr>
      <w:r w:rsidRPr="008233EA">
        <w:rPr>
          <w:rStyle w:val="jsgrdq"/>
          <w:rFonts w:ascii="Verdana" w:hAnsi="Verdana"/>
          <w:color w:val="7F7F7F" w:themeColor="text1" w:themeTint="80"/>
          <w:sz w:val="16"/>
          <w:szCs w:val="16"/>
        </w:rPr>
        <w:t>Déchets</w:t>
      </w:r>
      <w:r w:rsidR="0017390B" w:rsidRPr="008233EA">
        <w:rPr>
          <w:rStyle w:val="jsgrdq"/>
          <w:rFonts w:ascii="Verdana" w:hAnsi="Verdana"/>
          <w:color w:val="7F7F7F" w:themeColor="text1" w:themeTint="80"/>
          <w:sz w:val="16"/>
          <w:szCs w:val="16"/>
        </w:rPr>
        <w:t xml:space="preserve"> préalablement emballés dans des containers agréés,</w:t>
      </w:r>
      <w:r w:rsidR="00B77BFB" w:rsidRPr="008233EA">
        <w:rPr>
          <w:rStyle w:val="jsgrdq"/>
          <w:rFonts w:ascii="Verdana" w:hAnsi="Verdana"/>
          <w:color w:val="7F7F7F" w:themeColor="text1" w:themeTint="80"/>
          <w:sz w:val="16"/>
          <w:szCs w:val="16"/>
        </w:rPr>
        <w:t xml:space="preserve"> </w:t>
      </w:r>
      <w:r w:rsidR="0017390B" w:rsidRPr="008233EA">
        <w:rPr>
          <w:rStyle w:val="jsgrdq"/>
          <w:rFonts w:ascii="Verdana" w:hAnsi="Verdana"/>
          <w:color w:val="7F7F7F" w:themeColor="text1" w:themeTint="80"/>
          <w:sz w:val="16"/>
          <w:szCs w:val="16"/>
        </w:rPr>
        <w:t>les collecteurs doivent</w:t>
      </w:r>
      <w:r w:rsidRPr="008233EA">
        <w:rPr>
          <w:rStyle w:val="jsgrdq"/>
          <w:rFonts w:ascii="Verdana" w:hAnsi="Verdana"/>
          <w:color w:val="7F7F7F" w:themeColor="text1" w:themeTint="80"/>
          <w:sz w:val="16"/>
          <w:szCs w:val="16"/>
        </w:rPr>
        <w:t xml:space="preserve"> </w:t>
      </w:r>
      <w:r w:rsidR="0017390B" w:rsidRPr="008233EA">
        <w:rPr>
          <w:rStyle w:val="jsgrdq"/>
          <w:rFonts w:ascii="Verdana" w:hAnsi="Verdana"/>
          <w:color w:val="7F7F7F" w:themeColor="text1" w:themeTint="80"/>
          <w:sz w:val="16"/>
          <w:szCs w:val="16"/>
        </w:rPr>
        <w:t>être adaptés à la taille des déchets, avec une</w:t>
      </w:r>
      <w:r w:rsidR="00477726" w:rsidRPr="008233EA">
        <w:rPr>
          <w:rStyle w:val="jsgrdq"/>
          <w:rFonts w:ascii="Verdana" w:hAnsi="Verdana"/>
          <w:color w:val="7F7F7F" w:themeColor="text1" w:themeTint="80"/>
          <w:sz w:val="16"/>
          <w:szCs w:val="16"/>
        </w:rPr>
        <w:t xml:space="preserve"> </w:t>
      </w:r>
      <w:r w:rsidR="0017390B" w:rsidRPr="008233EA">
        <w:rPr>
          <w:rStyle w:val="jsgrdq"/>
          <w:rFonts w:ascii="Verdana" w:hAnsi="Verdana"/>
          <w:color w:val="7F7F7F" w:themeColor="text1" w:themeTint="80"/>
          <w:sz w:val="16"/>
          <w:szCs w:val="16"/>
        </w:rPr>
        <w:t>hauteur limite de remplissage...</w:t>
      </w:r>
    </w:p>
    <w:p w14:paraId="58083BEB" w14:textId="79FA3B76" w:rsidR="0017390B" w:rsidRPr="008233EA" w:rsidRDefault="00E56D85" w:rsidP="00411AAC">
      <w:pPr>
        <w:pStyle w:val="Standard"/>
        <w:numPr>
          <w:ilvl w:val="1"/>
          <w:numId w:val="22"/>
        </w:numPr>
        <w:spacing w:after="0"/>
        <w:jc w:val="both"/>
        <w:rPr>
          <w:rStyle w:val="jsgrdq"/>
          <w:rFonts w:ascii="Verdana" w:hAnsi="Verdana"/>
          <w:color w:val="7F7F7F" w:themeColor="text1" w:themeTint="80"/>
          <w:sz w:val="16"/>
          <w:szCs w:val="16"/>
        </w:rPr>
      </w:pPr>
      <w:r w:rsidRPr="008233EA">
        <w:rPr>
          <w:rStyle w:val="jsgrdq"/>
          <w:rFonts w:ascii="Verdana" w:hAnsi="Verdana"/>
          <w:color w:val="7F7F7F" w:themeColor="text1" w:themeTint="80"/>
          <w:sz w:val="16"/>
          <w:szCs w:val="16"/>
        </w:rPr>
        <w:t>Sécurité</w:t>
      </w:r>
      <w:r w:rsidR="0017390B" w:rsidRPr="008233EA">
        <w:rPr>
          <w:rStyle w:val="jsgrdq"/>
          <w:rFonts w:ascii="Verdana" w:hAnsi="Verdana"/>
          <w:color w:val="7F7F7F" w:themeColor="text1" w:themeTint="80"/>
          <w:sz w:val="16"/>
          <w:szCs w:val="16"/>
        </w:rPr>
        <w:t xml:space="preserve"> contre les dégradations et les vols,</w:t>
      </w:r>
    </w:p>
    <w:p w14:paraId="4EEF9B2F" w14:textId="0CD177DF" w:rsidR="0017390B" w:rsidRPr="008233EA" w:rsidRDefault="00E56D85" w:rsidP="00411AAC">
      <w:pPr>
        <w:pStyle w:val="Standard"/>
        <w:numPr>
          <w:ilvl w:val="1"/>
          <w:numId w:val="22"/>
        </w:numPr>
        <w:spacing w:after="0"/>
        <w:jc w:val="both"/>
        <w:rPr>
          <w:rStyle w:val="jsgrdq"/>
          <w:rFonts w:ascii="Verdana" w:hAnsi="Verdana"/>
          <w:color w:val="7F7F7F" w:themeColor="text1" w:themeTint="80"/>
          <w:sz w:val="16"/>
          <w:szCs w:val="16"/>
        </w:rPr>
      </w:pPr>
      <w:r w:rsidRPr="008233EA">
        <w:rPr>
          <w:rStyle w:val="jsgrdq"/>
          <w:rFonts w:ascii="Verdana" w:hAnsi="Verdana"/>
          <w:color w:val="7F7F7F" w:themeColor="text1" w:themeTint="80"/>
          <w:sz w:val="16"/>
          <w:szCs w:val="16"/>
        </w:rPr>
        <w:t>Local</w:t>
      </w:r>
      <w:r w:rsidR="0017390B" w:rsidRPr="008233EA">
        <w:rPr>
          <w:rStyle w:val="jsgrdq"/>
          <w:rFonts w:ascii="Verdana" w:hAnsi="Verdana"/>
          <w:color w:val="7F7F7F" w:themeColor="text1" w:themeTint="80"/>
          <w:sz w:val="16"/>
          <w:szCs w:val="16"/>
        </w:rPr>
        <w:t xml:space="preserve"> correctement ventilé et éclairé,</w:t>
      </w:r>
    </w:p>
    <w:p w14:paraId="54D7B5A6" w14:textId="519782BA" w:rsidR="0017390B" w:rsidRPr="008233EA" w:rsidRDefault="00E56D85" w:rsidP="00411AAC">
      <w:pPr>
        <w:pStyle w:val="Standard"/>
        <w:numPr>
          <w:ilvl w:val="1"/>
          <w:numId w:val="22"/>
        </w:numPr>
        <w:spacing w:after="0"/>
        <w:jc w:val="both"/>
        <w:rPr>
          <w:rStyle w:val="jsgrdq"/>
          <w:rFonts w:ascii="Verdana" w:hAnsi="Verdana"/>
          <w:color w:val="7F7F7F" w:themeColor="text1" w:themeTint="80"/>
          <w:sz w:val="16"/>
          <w:szCs w:val="16"/>
        </w:rPr>
      </w:pPr>
      <w:r w:rsidRPr="008233EA">
        <w:rPr>
          <w:rStyle w:val="jsgrdq"/>
          <w:rFonts w:ascii="Verdana" w:hAnsi="Verdana"/>
          <w:color w:val="7F7F7F" w:themeColor="text1" w:themeTint="80"/>
          <w:sz w:val="16"/>
          <w:szCs w:val="16"/>
        </w:rPr>
        <w:t>Sol</w:t>
      </w:r>
      <w:r w:rsidR="0017390B" w:rsidRPr="008233EA">
        <w:rPr>
          <w:rStyle w:val="jsgrdq"/>
          <w:rFonts w:ascii="Verdana" w:hAnsi="Verdana"/>
          <w:color w:val="7F7F7F" w:themeColor="text1" w:themeTint="80"/>
          <w:sz w:val="16"/>
          <w:szCs w:val="16"/>
        </w:rPr>
        <w:t xml:space="preserve"> et parois lavables,</w:t>
      </w:r>
    </w:p>
    <w:p w14:paraId="7DBF6550" w14:textId="70521206" w:rsidR="0017390B" w:rsidRPr="008233EA" w:rsidRDefault="00E56D85" w:rsidP="00411AAC">
      <w:pPr>
        <w:pStyle w:val="Standard"/>
        <w:numPr>
          <w:ilvl w:val="1"/>
          <w:numId w:val="22"/>
        </w:numPr>
        <w:spacing w:after="0"/>
        <w:jc w:val="both"/>
        <w:rPr>
          <w:rStyle w:val="jsgrdq"/>
          <w:rFonts w:ascii="Verdana" w:hAnsi="Verdana"/>
          <w:color w:val="7F7F7F" w:themeColor="text1" w:themeTint="80"/>
          <w:sz w:val="16"/>
          <w:szCs w:val="16"/>
        </w:rPr>
      </w:pPr>
      <w:r w:rsidRPr="008233EA">
        <w:rPr>
          <w:rStyle w:val="jsgrdq"/>
          <w:rFonts w:ascii="Verdana" w:hAnsi="Verdana"/>
          <w:color w:val="7F7F7F" w:themeColor="text1" w:themeTint="80"/>
          <w:sz w:val="16"/>
          <w:szCs w:val="16"/>
        </w:rPr>
        <w:t>Arrivée</w:t>
      </w:r>
      <w:r w:rsidR="0017390B" w:rsidRPr="008233EA">
        <w:rPr>
          <w:rStyle w:val="jsgrdq"/>
          <w:rFonts w:ascii="Verdana" w:hAnsi="Verdana"/>
          <w:color w:val="7F7F7F" w:themeColor="text1" w:themeTint="80"/>
          <w:sz w:val="16"/>
          <w:szCs w:val="16"/>
        </w:rPr>
        <w:t xml:space="preserve"> d'eau et évacuation,</w:t>
      </w:r>
    </w:p>
    <w:p w14:paraId="7921F012" w14:textId="07EC589B" w:rsidR="00162E42" w:rsidRPr="008233EA" w:rsidRDefault="00E56D85" w:rsidP="00411AAC">
      <w:pPr>
        <w:pStyle w:val="Standard"/>
        <w:numPr>
          <w:ilvl w:val="1"/>
          <w:numId w:val="22"/>
        </w:numPr>
        <w:spacing w:after="0"/>
        <w:jc w:val="both"/>
        <w:rPr>
          <w:rStyle w:val="jsgrdq"/>
          <w:rFonts w:ascii="Verdana" w:hAnsi="Verdana"/>
          <w:b/>
          <w:bCs/>
          <w:color w:val="7F7F7F" w:themeColor="text1" w:themeTint="80"/>
          <w:sz w:val="16"/>
          <w:szCs w:val="16"/>
        </w:rPr>
      </w:pPr>
      <w:r w:rsidRPr="008233EA">
        <w:rPr>
          <w:rStyle w:val="jsgrdq"/>
          <w:rFonts w:ascii="Verdana" w:hAnsi="Verdana"/>
          <w:color w:val="7F7F7F" w:themeColor="text1" w:themeTint="80"/>
          <w:sz w:val="16"/>
          <w:szCs w:val="16"/>
        </w:rPr>
        <w:t>Évacuation</w:t>
      </w:r>
      <w:r w:rsidR="0017390B" w:rsidRPr="008233EA">
        <w:rPr>
          <w:rStyle w:val="jsgrdq"/>
          <w:rFonts w:ascii="Verdana" w:hAnsi="Verdana"/>
          <w:color w:val="7F7F7F" w:themeColor="text1" w:themeTint="80"/>
          <w:sz w:val="16"/>
          <w:szCs w:val="16"/>
        </w:rPr>
        <w:t xml:space="preserve"> des déchets : 7 jours.</w:t>
      </w:r>
    </w:p>
    <w:p w14:paraId="0046614C" w14:textId="72DE3A7A" w:rsidR="00155A54" w:rsidRPr="008233EA" w:rsidRDefault="00155A54" w:rsidP="00155A54">
      <w:pPr>
        <w:pStyle w:val="Standard"/>
        <w:spacing w:after="0"/>
        <w:ind w:left="720"/>
        <w:rPr>
          <w:rStyle w:val="jsgrdq"/>
          <w:rFonts w:ascii="Verdana" w:hAnsi="Verdana"/>
          <w:b/>
          <w:bCs/>
          <w:color w:val="7F7F7F" w:themeColor="text1" w:themeTint="80"/>
          <w:sz w:val="16"/>
          <w:szCs w:val="16"/>
        </w:rPr>
      </w:pPr>
    </w:p>
    <w:p w14:paraId="2BF311C7" w14:textId="17C62C18" w:rsidR="00155A54" w:rsidRPr="00DB3514" w:rsidRDefault="00155A54" w:rsidP="00155A54">
      <w:pPr>
        <w:pStyle w:val="Standard"/>
        <w:numPr>
          <w:ilvl w:val="0"/>
          <w:numId w:val="22"/>
        </w:numPr>
        <w:spacing w:after="0"/>
        <w:ind w:left="567" w:hanging="425"/>
        <w:rPr>
          <w:rStyle w:val="jsgrdq"/>
          <w:rFonts w:ascii="Verdana" w:hAnsi="Verdana"/>
          <w:b/>
          <w:bCs/>
          <w:color w:val="7F7F7F" w:themeColor="text1" w:themeTint="80"/>
          <w:sz w:val="16"/>
          <w:szCs w:val="16"/>
        </w:rPr>
      </w:pPr>
      <w:r w:rsidRPr="00DB3514">
        <w:rPr>
          <w:rStyle w:val="jsgrdq"/>
          <w:rFonts w:ascii="Verdana" w:hAnsi="Verdana"/>
          <w:color w:val="279097"/>
          <w:sz w:val="16"/>
          <w:szCs w:val="16"/>
        </w:rPr>
        <w:t>M</w:t>
      </w:r>
      <w:r w:rsidR="005427D0" w:rsidRPr="00DB3514">
        <w:rPr>
          <w:rStyle w:val="jsgrdq"/>
          <w:rFonts w:ascii="Verdana" w:hAnsi="Verdana"/>
          <w:color w:val="279097"/>
          <w:sz w:val="16"/>
          <w:szCs w:val="16"/>
        </w:rPr>
        <w:t>oins de</w:t>
      </w:r>
      <w:r w:rsidRPr="00DB3514">
        <w:rPr>
          <w:rStyle w:val="jsgrdq"/>
          <w:rFonts w:ascii="Verdana" w:hAnsi="Verdana"/>
          <w:color w:val="279097"/>
          <w:sz w:val="16"/>
          <w:szCs w:val="16"/>
        </w:rPr>
        <w:t xml:space="preserve"> 5 K</w:t>
      </w:r>
      <w:r w:rsidR="00411AAC">
        <w:rPr>
          <w:rStyle w:val="jsgrdq"/>
          <w:rFonts w:ascii="Verdana" w:hAnsi="Verdana"/>
          <w:color w:val="279097"/>
          <w:sz w:val="16"/>
          <w:szCs w:val="16"/>
        </w:rPr>
        <w:t>g</w:t>
      </w:r>
      <w:r w:rsidRPr="00DB3514">
        <w:rPr>
          <w:rStyle w:val="jsgrdq"/>
          <w:rFonts w:ascii="Verdana" w:hAnsi="Verdana"/>
          <w:color w:val="279097"/>
          <w:sz w:val="16"/>
          <w:szCs w:val="16"/>
        </w:rPr>
        <w:t>/</w:t>
      </w:r>
      <w:r w:rsidR="00711A09" w:rsidRPr="00DB3514">
        <w:rPr>
          <w:rStyle w:val="jsgrdq"/>
          <w:rFonts w:ascii="Verdana" w:hAnsi="Verdana"/>
          <w:color w:val="279097"/>
          <w:sz w:val="16"/>
          <w:szCs w:val="16"/>
        </w:rPr>
        <w:t>mois</w:t>
      </w:r>
    </w:p>
    <w:p w14:paraId="72A828B8" w14:textId="1F74F0F6" w:rsidR="00155A54" w:rsidRPr="008233EA" w:rsidRDefault="00155A54" w:rsidP="00411AAC">
      <w:pPr>
        <w:pStyle w:val="Standard"/>
        <w:numPr>
          <w:ilvl w:val="1"/>
          <w:numId w:val="22"/>
        </w:numPr>
        <w:spacing w:after="0"/>
        <w:contextualSpacing/>
        <w:rPr>
          <w:rStyle w:val="jsgrdq"/>
          <w:rFonts w:ascii="Verdana" w:hAnsi="Verdana"/>
          <w:color w:val="7F7F7F" w:themeColor="text1" w:themeTint="80"/>
          <w:sz w:val="16"/>
          <w:szCs w:val="16"/>
        </w:rPr>
      </w:pPr>
      <w:r w:rsidRPr="008233EA">
        <w:rPr>
          <w:rStyle w:val="jsgrdq"/>
          <w:rFonts w:ascii="Verdana" w:hAnsi="Verdana"/>
          <w:color w:val="7F7F7F" w:themeColor="text1" w:themeTint="80"/>
          <w:sz w:val="16"/>
          <w:szCs w:val="16"/>
        </w:rPr>
        <w:t>à l'écart d'une source de chaleur,</w:t>
      </w:r>
    </w:p>
    <w:p w14:paraId="026F8A36" w14:textId="60EDE051" w:rsidR="00155A54" w:rsidRPr="008233EA" w:rsidRDefault="00155A54" w:rsidP="005427D0">
      <w:pPr>
        <w:pStyle w:val="Standard"/>
        <w:numPr>
          <w:ilvl w:val="1"/>
          <w:numId w:val="22"/>
        </w:numPr>
        <w:spacing w:after="0"/>
        <w:contextualSpacing/>
        <w:rPr>
          <w:rStyle w:val="jsgrdq"/>
          <w:rFonts w:ascii="Verdana" w:hAnsi="Verdana"/>
          <w:color w:val="7F7F7F" w:themeColor="text1" w:themeTint="80"/>
          <w:sz w:val="16"/>
          <w:szCs w:val="16"/>
        </w:rPr>
      </w:pPr>
      <w:r w:rsidRPr="008233EA">
        <w:rPr>
          <w:rStyle w:val="jsgrdq"/>
          <w:rFonts w:ascii="Verdana" w:hAnsi="Verdana"/>
          <w:color w:val="7F7F7F" w:themeColor="text1" w:themeTint="80"/>
          <w:sz w:val="16"/>
          <w:szCs w:val="16"/>
        </w:rPr>
        <w:t>dans des emballages étanches agréés,</w:t>
      </w:r>
    </w:p>
    <w:p w14:paraId="3F862B48" w14:textId="04C08A24" w:rsidR="00155A54" w:rsidRPr="008233EA" w:rsidRDefault="00155A54" w:rsidP="005427D0">
      <w:pPr>
        <w:pStyle w:val="Standard"/>
        <w:numPr>
          <w:ilvl w:val="1"/>
          <w:numId w:val="22"/>
        </w:numPr>
        <w:spacing w:after="0"/>
        <w:contextualSpacing/>
        <w:rPr>
          <w:rStyle w:val="jsgrdq"/>
          <w:rFonts w:ascii="Verdana" w:hAnsi="Verdana"/>
          <w:color w:val="7F7F7F" w:themeColor="text1" w:themeTint="80"/>
          <w:sz w:val="16"/>
          <w:szCs w:val="16"/>
        </w:rPr>
      </w:pPr>
      <w:r w:rsidRPr="008233EA">
        <w:rPr>
          <w:rStyle w:val="jsgrdq"/>
          <w:rFonts w:ascii="Verdana" w:hAnsi="Verdana"/>
          <w:color w:val="7F7F7F" w:themeColor="text1" w:themeTint="80"/>
          <w:sz w:val="16"/>
          <w:szCs w:val="16"/>
        </w:rPr>
        <w:t>entreposés dans un meuble spécifique,</w:t>
      </w:r>
    </w:p>
    <w:p w14:paraId="19374862" w14:textId="7983B209" w:rsidR="00155A54" w:rsidRPr="008233EA" w:rsidRDefault="00155A54" w:rsidP="005427D0">
      <w:pPr>
        <w:pStyle w:val="Standard"/>
        <w:numPr>
          <w:ilvl w:val="1"/>
          <w:numId w:val="22"/>
        </w:numPr>
        <w:spacing w:after="0"/>
        <w:contextualSpacing/>
        <w:rPr>
          <w:rStyle w:val="jsgrdq"/>
          <w:rFonts w:ascii="Verdana" w:hAnsi="Verdana"/>
          <w:color w:val="7F7F7F" w:themeColor="text1" w:themeTint="80"/>
          <w:sz w:val="16"/>
          <w:szCs w:val="16"/>
        </w:rPr>
      </w:pPr>
      <w:r w:rsidRPr="008233EA">
        <w:rPr>
          <w:rStyle w:val="jsgrdq"/>
          <w:rFonts w:ascii="Verdana" w:hAnsi="Verdana"/>
          <w:color w:val="7F7F7F" w:themeColor="text1" w:themeTint="80"/>
          <w:sz w:val="16"/>
          <w:szCs w:val="16"/>
        </w:rPr>
        <w:t>évacuation des déchets : délai maximum 3 mois.</w:t>
      </w:r>
    </w:p>
    <w:p w14:paraId="499F8101" w14:textId="77777777" w:rsidR="00D428EE" w:rsidRPr="008233EA" w:rsidRDefault="00D428EE" w:rsidP="00155A54">
      <w:pPr>
        <w:pStyle w:val="Standard"/>
        <w:spacing w:after="0"/>
        <w:ind w:firstLine="567"/>
        <w:rPr>
          <w:rStyle w:val="jsgrdq"/>
          <w:rFonts w:ascii="Verdana" w:hAnsi="Verdana"/>
          <w:color w:val="7F7F7F" w:themeColor="text1" w:themeTint="80"/>
          <w:sz w:val="16"/>
          <w:szCs w:val="16"/>
        </w:rPr>
      </w:pPr>
    </w:p>
    <w:p w14:paraId="0B00DAA9" w14:textId="732E48C2" w:rsidR="00D428EE" w:rsidRPr="008233EA" w:rsidRDefault="00D428EE" w:rsidP="005427D0">
      <w:pPr>
        <w:pStyle w:val="Standard"/>
        <w:spacing w:after="0"/>
        <w:jc w:val="both"/>
        <w:rPr>
          <w:rStyle w:val="jsgrdq"/>
          <w:rFonts w:ascii="Verdana" w:hAnsi="Verdana"/>
          <w:color w:val="7F7F7F" w:themeColor="text1" w:themeTint="80"/>
          <w:sz w:val="16"/>
          <w:szCs w:val="16"/>
        </w:rPr>
      </w:pPr>
      <w:r w:rsidRPr="008233EA">
        <w:rPr>
          <w:rStyle w:val="jsgrdq"/>
          <w:rFonts w:ascii="Verdana" w:hAnsi="Verdana"/>
          <w:color w:val="7F7F7F" w:themeColor="text1" w:themeTint="80"/>
          <w:sz w:val="16"/>
          <w:szCs w:val="16"/>
        </w:rPr>
        <w:t xml:space="preserve">Deux filières </w:t>
      </w:r>
      <w:r w:rsidR="004F438E" w:rsidRPr="008233EA">
        <w:rPr>
          <w:rStyle w:val="jsgrdq"/>
          <w:rFonts w:ascii="Verdana" w:hAnsi="Verdana"/>
          <w:color w:val="7F7F7F" w:themeColor="text1" w:themeTint="80"/>
          <w:sz w:val="16"/>
          <w:szCs w:val="16"/>
        </w:rPr>
        <w:t xml:space="preserve">tracées et obligatoires </w:t>
      </w:r>
      <w:r w:rsidRPr="008233EA">
        <w:rPr>
          <w:rStyle w:val="jsgrdq"/>
          <w:rFonts w:ascii="Verdana" w:hAnsi="Verdana"/>
          <w:color w:val="7F7F7F" w:themeColor="text1" w:themeTint="80"/>
          <w:sz w:val="16"/>
          <w:szCs w:val="16"/>
        </w:rPr>
        <w:t>de traitement sont autorisées pour l’élimination des DASRI :</w:t>
      </w:r>
      <w:r w:rsidR="004F438E" w:rsidRPr="008233EA">
        <w:rPr>
          <w:rStyle w:val="jsgrdq"/>
          <w:rFonts w:ascii="Verdana" w:hAnsi="Verdana"/>
          <w:color w:val="7F7F7F" w:themeColor="text1" w:themeTint="80"/>
          <w:sz w:val="16"/>
          <w:szCs w:val="16"/>
        </w:rPr>
        <w:t xml:space="preserve"> L’incinération</w:t>
      </w:r>
      <w:r w:rsidRPr="008233EA">
        <w:rPr>
          <w:rStyle w:val="jsgrdq"/>
          <w:rFonts w:ascii="Verdana" w:hAnsi="Verdana"/>
          <w:color w:val="7F7F7F" w:themeColor="text1" w:themeTint="80"/>
          <w:sz w:val="16"/>
          <w:szCs w:val="16"/>
        </w:rPr>
        <w:t xml:space="preserve"> et la banalisation</w:t>
      </w:r>
    </w:p>
    <w:p w14:paraId="78E09CFB" w14:textId="36B53253" w:rsidR="00155A54" w:rsidRPr="008233EA" w:rsidRDefault="00D428EE" w:rsidP="005427D0">
      <w:pPr>
        <w:pStyle w:val="Standard"/>
        <w:spacing w:after="0"/>
        <w:jc w:val="both"/>
        <w:rPr>
          <w:rFonts w:ascii="Verdana" w:hAnsi="Verdana"/>
          <w:bCs/>
          <w:color w:val="7F7F7F" w:themeColor="text1" w:themeTint="80"/>
          <w:sz w:val="16"/>
          <w:szCs w:val="16"/>
        </w:rPr>
      </w:pPr>
      <w:r w:rsidRPr="008233EA">
        <w:rPr>
          <w:rStyle w:val="jsgrdq"/>
          <w:rFonts w:ascii="Verdana" w:hAnsi="Verdana"/>
          <w:color w:val="7F7F7F" w:themeColor="text1" w:themeTint="80"/>
          <w:sz w:val="16"/>
          <w:szCs w:val="16"/>
        </w:rPr>
        <w:t xml:space="preserve">Selon le Code de l’environnement, quel que soit le mode de traitement, un DASRI conserve sa propriété de danger jusqu’à son élimination. </w:t>
      </w:r>
      <w:r w:rsidR="004F438E" w:rsidRPr="008233EA">
        <w:rPr>
          <w:rFonts w:ascii="Verdana" w:hAnsi="Verdana"/>
          <w:bCs/>
          <w:color w:val="7F7F7F" w:themeColor="text1" w:themeTint="80"/>
          <w:sz w:val="16"/>
          <w:szCs w:val="16"/>
        </w:rPr>
        <w:t>Si</w:t>
      </w:r>
      <w:r w:rsidR="00C1591A" w:rsidRPr="008233EA">
        <w:rPr>
          <w:rFonts w:ascii="Verdana" w:hAnsi="Verdana"/>
          <w:bCs/>
          <w:color w:val="7F7F7F" w:themeColor="text1" w:themeTint="80"/>
          <w:sz w:val="16"/>
          <w:szCs w:val="16"/>
        </w:rPr>
        <w:t xml:space="preserve"> le site de traitement est éloigné, il est possible de les faire banaliser par chauffage broyage dans une structure équipée plus proche du cabinet pour limiter le transport.</w:t>
      </w:r>
    </w:p>
    <w:p w14:paraId="1019D8EE" w14:textId="5CE0E6B1" w:rsidR="00002703" w:rsidRDefault="00002703" w:rsidP="00155A54">
      <w:pPr>
        <w:pStyle w:val="Standard"/>
        <w:spacing w:after="0"/>
        <w:rPr>
          <w:rFonts w:ascii="Verdana" w:hAnsi="Verdana"/>
          <w:bCs/>
          <w:color w:val="7F7F7F" w:themeColor="text1" w:themeTint="80"/>
          <w:sz w:val="16"/>
          <w:szCs w:val="16"/>
        </w:rPr>
      </w:pPr>
    </w:p>
    <w:p w14:paraId="3AFEEFA4" w14:textId="77777777" w:rsidR="00237A70" w:rsidRDefault="00237A70" w:rsidP="00155A54">
      <w:pPr>
        <w:pStyle w:val="Standard"/>
        <w:spacing w:after="0"/>
        <w:rPr>
          <w:rFonts w:ascii="Verdana" w:hAnsi="Verdana"/>
          <w:bCs/>
          <w:color w:val="7F7F7F" w:themeColor="text1" w:themeTint="80"/>
          <w:sz w:val="16"/>
          <w:szCs w:val="16"/>
        </w:rPr>
      </w:pPr>
    </w:p>
    <w:p w14:paraId="00CE2800" w14:textId="77777777" w:rsidR="00103874" w:rsidRPr="008233EA" w:rsidRDefault="00103874" w:rsidP="00155A54">
      <w:pPr>
        <w:pStyle w:val="Standard"/>
        <w:spacing w:after="0"/>
        <w:rPr>
          <w:rFonts w:ascii="Verdana" w:hAnsi="Verdana"/>
          <w:bCs/>
          <w:color w:val="7F7F7F" w:themeColor="text1" w:themeTint="80"/>
          <w:sz w:val="16"/>
          <w:szCs w:val="16"/>
        </w:rPr>
      </w:pPr>
    </w:p>
    <w:p w14:paraId="5BF35107" w14:textId="577E1054" w:rsidR="00155A54" w:rsidRPr="00B66596" w:rsidRDefault="00155A54" w:rsidP="00AC141A">
      <w:pPr>
        <w:pStyle w:val="Standard"/>
        <w:spacing w:after="0"/>
        <w:rPr>
          <w:rStyle w:val="jsgrdq"/>
          <w:rFonts w:ascii="Verdana" w:hAnsi="Verdana"/>
          <w:color w:val="279097"/>
          <w:sz w:val="16"/>
          <w:szCs w:val="16"/>
          <w:u w:val="single"/>
        </w:rPr>
      </w:pPr>
      <w:r w:rsidRPr="00B66596">
        <w:rPr>
          <w:rStyle w:val="jsgrdq"/>
          <w:rFonts w:ascii="Verdana" w:hAnsi="Verdana"/>
          <w:color w:val="279097"/>
          <w:sz w:val="16"/>
          <w:szCs w:val="16"/>
          <w:u w:val="single"/>
        </w:rPr>
        <w:lastRenderedPageBreak/>
        <w:t>Obligation de traçabilité de la gestion des DASRI</w:t>
      </w:r>
    </w:p>
    <w:p w14:paraId="20785F86" w14:textId="77777777" w:rsidR="00155A54" w:rsidRPr="008233EA" w:rsidRDefault="00155A54" w:rsidP="00155A54">
      <w:pPr>
        <w:pStyle w:val="Standard"/>
        <w:spacing w:after="0"/>
        <w:rPr>
          <w:rStyle w:val="jsgrdq"/>
          <w:rFonts w:ascii="Verdana" w:hAnsi="Verdana"/>
          <w:color w:val="7F7F7F" w:themeColor="text1" w:themeTint="80"/>
        </w:rPr>
      </w:pPr>
    </w:p>
    <w:p w14:paraId="128A611C" w14:textId="3898F3F4" w:rsidR="00155A54" w:rsidRPr="008233EA" w:rsidRDefault="00155A54" w:rsidP="00155A54">
      <w:pPr>
        <w:pStyle w:val="Standard"/>
        <w:spacing w:after="0"/>
        <w:jc w:val="both"/>
        <w:rPr>
          <w:rStyle w:val="jsgrdq"/>
          <w:rFonts w:ascii="Verdana" w:hAnsi="Verdana"/>
          <w:color w:val="7F7F7F" w:themeColor="text1" w:themeTint="80"/>
          <w:sz w:val="16"/>
          <w:szCs w:val="16"/>
        </w:rPr>
      </w:pPr>
      <w:r w:rsidRPr="008233EA">
        <w:rPr>
          <w:rStyle w:val="jsgrdq"/>
          <w:rFonts w:ascii="Verdana" w:hAnsi="Verdana"/>
          <w:color w:val="7F7F7F" w:themeColor="text1" w:themeTint="80"/>
          <w:sz w:val="16"/>
          <w:szCs w:val="16"/>
        </w:rPr>
        <w:t>Un bordereau de suivi (</w:t>
      </w:r>
      <w:proofErr w:type="spellStart"/>
      <w:r w:rsidRPr="008233EA">
        <w:rPr>
          <w:rStyle w:val="jsgrdq"/>
          <w:rFonts w:ascii="Verdana" w:hAnsi="Verdana"/>
          <w:color w:val="7F7F7F" w:themeColor="text1" w:themeTint="80"/>
          <w:sz w:val="16"/>
          <w:szCs w:val="16"/>
        </w:rPr>
        <w:t>cerfa</w:t>
      </w:r>
      <w:proofErr w:type="spellEnd"/>
      <w:r w:rsidRPr="008233EA">
        <w:rPr>
          <w:rStyle w:val="jsgrdq"/>
          <w:rFonts w:ascii="Verdana" w:hAnsi="Verdana"/>
          <w:color w:val="7F7F7F" w:themeColor="text1" w:themeTint="80"/>
          <w:sz w:val="16"/>
          <w:szCs w:val="16"/>
        </w:rPr>
        <w:t xml:space="preserve"> n°11351*1) des DASRI doit être retourné au praticien par le</w:t>
      </w:r>
      <w:r w:rsidR="00AC141A">
        <w:rPr>
          <w:rStyle w:val="jsgrdq"/>
          <w:rFonts w:ascii="Verdana" w:hAnsi="Verdana"/>
          <w:color w:val="7F7F7F" w:themeColor="text1" w:themeTint="80"/>
          <w:sz w:val="16"/>
          <w:szCs w:val="16"/>
        </w:rPr>
        <w:t xml:space="preserve"> </w:t>
      </w:r>
      <w:r w:rsidRPr="008233EA">
        <w:rPr>
          <w:rStyle w:val="jsgrdq"/>
          <w:rFonts w:ascii="Verdana" w:hAnsi="Verdana"/>
          <w:color w:val="7F7F7F" w:themeColor="text1" w:themeTint="80"/>
          <w:sz w:val="16"/>
          <w:szCs w:val="16"/>
        </w:rPr>
        <w:t>collecteur-transporteur dans l’année si inférieur à 5 kg, et sous 1 mois si supérieur à 5 kg.</w:t>
      </w:r>
    </w:p>
    <w:p w14:paraId="1E6EEE8E" w14:textId="77777777" w:rsidR="004F4B4B" w:rsidRPr="008233EA" w:rsidRDefault="004F4B4B" w:rsidP="00155A54">
      <w:pPr>
        <w:pStyle w:val="Standard"/>
        <w:spacing w:after="0"/>
        <w:jc w:val="both"/>
        <w:rPr>
          <w:rStyle w:val="jsgrdq"/>
          <w:rFonts w:ascii="Verdana" w:hAnsi="Verdana"/>
          <w:color w:val="7F7F7F" w:themeColor="text1" w:themeTint="80"/>
          <w:sz w:val="16"/>
          <w:szCs w:val="16"/>
        </w:rPr>
      </w:pPr>
    </w:p>
    <w:p w14:paraId="11A3A233" w14:textId="0223D31E" w:rsidR="00002703" w:rsidRPr="008233EA" w:rsidRDefault="004F438E" w:rsidP="00155A54">
      <w:pPr>
        <w:pStyle w:val="Standard"/>
        <w:spacing w:after="0"/>
        <w:jc w:val="both"/>
        <w:rPr>
          <w:rStyle w:val="jsgrdq"/>
          <w:rFonts w:ascii="Verdana" w:hAnsi="Verdana"/>
          <w:color w:val="7F7F7F" w:themeColor="text1" w:themeTint="80"/>
          <w:sz w:val="16"/>
          <w:szCs w:val="16"/>
        </w:rPr>
      </w:pPr>
      <w:r w:rsidRPr="008233EA">
        <w:rPr>
          <w:rStyle w:val="jsgrdq"/>
          <w:rFonts w:ascii="Verdana" w:hAnsi="Verdana"/>
          <w:color w:val="7F7F7F" w:themeColor="text1" w:themeTint="80"/>
          <w:sz w:val="16"/>
          <w:szCs w:val="16"/>
        </w:rPr>
        <w:t>Ce document doit</w:t>
      </w:r>
      <w:r w:rsidR="00155A54" w:rsidRPr="008233EA">
        <w:rPr>
          <w:rStyle w:val="jsgrdq"/>
          <w:rFonts w:ascii="Verdana" w:hAnsi="Verdana"/>
          <w:color w:val="7F7F7F" w:themeColor="text1" w:themeTint="80"/>
          <w:sz w:val="16"/>
          <w:szCs w:val="16"/>
        </w:rPr>
        <w:t xml:space="preserve"> être conservé 3 ans.</w:t>
      </w:r>
    </w:p>
    <w:p w14:paraId="125C642E" w14:textId="7D7BEB6F" w:rsidR="004F438E" w:rsidRPr="008233EA" w:rsidRDefault="004F438E" w:rsidP="00155A54">
      <w:pPr>
        <w:pStyle w:val="Standard"/>
        <w:spacing w:after="0"/>
        <w:jc w:val="both"/>
        <w:rPr>
          <w:rStyle w:val="jsgrdq"/>
          <w:rFonts w:ascii="Verdana" w:hAnsi="Verdana"/>
          <w:color w:val="7F7F7F" w:themeColor="text1" w:themeTint="80"/>
          <w:sz w:val="16"/>
          <w:szCs w:val="16"/>
        </w:rPr>
      </w:pPr>
    </w:p>
    <w:p w14:paraId="36F627D7" w14:textId="77777777" w:rsidR="00002703" w:rsidRPr="008233EA" w:rsidRDefault="00002703" w:rsidP="00002703">
      <w:pPr>
        <w:pStyle w:val="Standard"/>
        <w:jc w:val="both"/>
        <w:rPr>
          <w:rFonts w:ascii="Verdana" w:hAnsi="Verdana"/>
          <w:color w:val="7F7F7F" w:themeColor="text1" w:themeTint="80"/>
          <w:sz w:val="16"/>
          <w:szCs w:val="16"/>
        </w:rPr>
      </w:pPr>
      <w:r w:rsidRPr="008233EA">
        <w:rPr>
          <w:rFonts w:ascii="Verdana" w:hAnsi="Verdana"/>
          <w:color w:val="7F7F7F" w:themeColor="text1" w:themeTint="80"/>
          <w:sz w:val="16"/>
          <w:szCs w:val="16"/>
        </w:rPr>
        <w:t>Voir le livret de L'INRS sur les DASRI téléchargeable à l‘adresse suivante :</w:t>
      </w:r>
    </w:p>
    <w:p w14:paraId="6F2A4060" w14:textId="29BA97C7" w:rsidR="004F438E" w:rsidRDefault="00002703" w:rsidP="001A3FEE">
      <w:pPr>
        <w:pStyle w:val="Standard"/>
        <w:jc w:val="both"/>
        <w:rPr>
          <w:rFonts w:ascii="Verdana" w:hAnsi="Verdana"/>
          <w:color w:val="7F7F7F" w:themeColor="text1" w:themeTint="80"/>
          <w:sz w:val="16"/>
          <w:szCs w:val="16"/>
        </w:rPr>
      </w:pPr>
      <w:r w:rsidRPr="008233EA">
        <w:rPr>
          <w:rFonts w:ascii="Verdana" w:hAnsi="Verdana"/>
          <w:color w:val="7F7F7F" w:themeColor="text1" w:themeTint="80"/>
          <w:sz w:val="16"/>
          <w:szCs w:val="16"/>
        </w:rPr>
        <w:t>www.inrs.fr/…/</w:t>
      </w:r>
      <w:proofErr w:type="spellStart"/>
      <w:r w:rsidRPr="008233EA">
        <w:rPr>
          <w:rFonts w:ascii="Verdana" w:hAnsi="Verdana"/>
          <w:color w:val="7F7F7F" w:themeColor="text1" w:themeTint="80"/>
          <w:sz w:val="16"/>
          <w:szCs w:val="16"/>
        </w:rPr>
        <w:t>dechets_infectieux</w:t>
      </w:r>
      <w:proofErr w:type="spellEnd"/>
      <w:r w:rsidRPr="008233EA">
        <w:rPr>
          <w:rFonts w:ascii="Verdana" w:hAnsi="Verdana"/>
          <w:color w:val="7F7F7F" w:themeColor="text1" w:themeTint="80"/>
          <w:sz w:val="16"/>
          <w:szCs w:val="16"/>
        </w:rPr>
        <w:t xml:space="preserve"> </w:t>
      </w:r>
      <w:proofErr w:type="spellStart"/>
      <w:r w:rsidRPr="008233EA">
        <w:rPr>
          <w:rFonts w:ascii="Verdana" w:hAnsi="Verdana"/>
          <w:color w:val="7F7F7F" w:themeColor="text1" w:themeTint="80"/>
          <w:sz w:val="16"/>
          <w:szCs w:val="16"/>
        </w:rPr>
        <w:t>elimination_dasri_assimiles.himlmm</w:t>
      </w:r>
      <w:proofErr w:type="spellEnd"/>
      <w:r w:rsidRPr="008233EA">
        <w:rPr>
          <w:rFonts w:ascii="Verdana" w:hAnsi="Verdana"/>
          <w:color w:val="7F7F7F" w:themeColor="text1" w:themeTint="80"/>
          <w:sz w:val="16"/>
          <w:szCs w:val="16"/>
        </w:rPr>
        <w:t xml:space="preserve">. </w:t>
      </w:r>
    </w:p>
    <w:p w14:paraId="6E4AEBFB" w14:textId="77777777" w:rsidR="00CD0576" w:rsidRDefault="00CD0576" w:rsidP="001A3FEE">
      <w:pPr>
        <w:pStyle w:val="Standard"/>
        <w:jc w:val="both"/>
        <w:rPr>
          <w:rFonts w:ascii="Verdana" w:hAnsi="Verdana"/>
          <w:color w:val="7F7F7F" w:themeColor="text1" w:themeTint="80"/>
          <w:sz w:val="16"/>
          <w:szCs w:val="16"/>
        </w:rPr>
      </w:pPr>
    </w:p>
    <w:p w14:paraId="3DA54DB5" w14:textId="53FECC43" w:rsidR="00CD0576" w:rsidRDefault="00CD0576" w:rsidP="001A3FEE">
      <w:pPr>
        <w:pStyle w:val="Standard"/>
        <w:jc w:val="both"/>
        <w:rPr>
          <w:rStyle w:val="jsgrdq"/>
          <w:rFonts w:ascii="Verdana" w:hAnsi="Verdana"/>
          <w:b/>
          <w:bCs/>
          <w:i/>
          <w:iCs/>
          <w:color w:val="279097"/>
          <w:sz w:val="20"/>
          <w:szCs w:val="20"/>
        </w:rPr>
      </w:pPr>
      <w:r>
        <w:rPr>
          <w:rStyle w:val="jsgrdq"/>
          <w:rFonts w:ascii="Verdana" w:hAnsi="Verdana"/>
          <w:b/>
          <w:bCs/>
          <w:i/>
          <w:iCs/>
          <w:color w:val="279097"/>
          <w:sz w:val="20"/>
          <w:szCs w:val="20"/>
        </w:rPr>
        <w:t xml:space="preserve">Les déchets </w:t>
      </w:r>
      <w:r w:rsidR="006E21C3">
        <w:rPr>
          <w:rStyle w:val="jsgrdq"/>
          <w:rFonts w:ascii="Verdana" w:hAnsi="Verdana"/>
          <w:b/>
          <w:bCs/>
          <w:i/>
          <w:iCs/>
          <w:color w:val="279097"/>
          <w:sz w:val="20"/>
          <w:szCs w:val="20"/>
        </w:rPr>
        <w:t>biomédicaux</w:t>
      </w:r>
    </w:p>
    <w:p w14:paraId="1C7C2FA9" w14:textId="77777777" w:rsidR="006E21C3" w:rsidRDefault="006E21C3" w:rsidP="001A3FEE">
      <w:pPr>
        <w:pStyle w:val="Standard"/>
        <w:jc w:val="both"/>
        <w:rPr>
          <w:rStyle w:val="jsgrdq"/>
          <w:rFonts w:ascii="Verdana" w:hAnsi="Verdana"/>
          <w:b/>
          <w:bCs/>
          <w:i/>
          <w:iCs/>
          <w:color w:val="279097"/>
          <w:sz w:val="20"/>
          <w:szCs w:val="20"/>
        </w:rPr>
      </w:pPr>
    </w:p>
    <w:p w14:paraId="77C8287B" w14:textId="77777777" w:rsidR="006E21C3" w:rsidRPr="006E21C3" w:rsidRDefault="006E21C3" w:rsidP="006E21C3">
      <w:pPr>
        <w:rPr>
          <w:rFonts w:ascii="Verdana" w:hAnsi="Verdana"/>
          <w:color w:val="7F7F7F" w:themeColor="text1" w:themeTint="80"/>
          <w:sz w:val="16"/>
          <w:szCs w:val="16"/>
        </w:rPr>
      </w:pPr>
      <w:r w:rsidRPr="006E21C3">
        <w:rPr>
          <w:rFonts w:ascii="Verdana" w:hAnsi="Verdana"/>
          <w:color w:val="7F7F7F" w:themeColor="text1" w:themeTint="80"/>
          <w:sz w:val="16"/>
          <w:szCs w:val="16"/>
        </w:rPr>
        <w:t xml:space="preserve">Les cabinets dentaires produisent également des déchets biomédicaux, comme des gants, des masques, ou d'autres articles à usage unique. </w:t>
      </w:r>
    </w:p>
    <w:p w14:paraId="54C5FFBA" w14:textId="77777777" w:rsidR="006E21C3" w:rsidRPr="006E21C3" w:rsidRDefault="006E21C3" w:rsidP="006E21C3">
      <w:pPr>
        <w:rPr>
          <w:rFonts w:ascii="Verdana" w:hAnsi="Verdana"/>
          <w:color w:val="7F7F7F" w:themeColor="text1" w:themeTint="80"/>
          <w:sz w:val="16"/>
          <w:szCs w:val="16"/>
        </w:rPr>
      </w:pPr>
      <w:r w:rsidRPr="006E21C3">
        <w:rPr>
          <w:rFonts w:ascii="Verdana" w:hAnsi="Verdana"/>
          <w:color w:val="7F7F7F" w:themeColor="text1" w:themeTint="80"/>
          <w:sz w:val="16"/>
          <w:szCs w:val="16"/>
        </w:rPr>
        <w:t xml:space="preserve">Des entreprises spécialisées dans la gestion des déchets et le recyclage, telle que </w:t>
      </w:r>
      <w:proofErr w:type="spellStart"/>
      <w:r w:rsidRPr="006E21C3">
        <w:rPr>
          <w:rFonts w:ascii="Verdana" w:hAnsi="Verdana"/>
          <w:color w:val="7F7F7F" w:themeColor="text1" w:themeTint="80"/>
          <w:sz w:val="16"/>
          <w:szCs w:val="16"/>
        </w:rPr>
        <w:t>Terracycle</w:t>
      </w:r>
      <w:proofErr w:type="spellEnd"/>
      <w:r w:rsidRPr="006E21C3">
        <w:rPr>
          <w:rFonts w:ascii="Verdana" w:hAnsi="Verdana"/>
          <w:color w:val="7F7F7F" w:themeColor="text1" w:themeTint="80"/>
          <w:sz w:val="16"/>
          <w:szCs w:val="16"/>
        </w:rPr>
        <w:t xml:space="preserve"> peuvent offrir des solutions pour la collecte et le traitement approprié de ces déchets afin de minimiser leur impact environnemental.</w:t>
      </w:r>
    </w:p>
    <w:p w14:paraId="4AF064F3" w14:textId="77777777" w:rsidR="006E21C3" w:rsidRPr="006E21C3" w:rsidRDefault="006E21C3" w:rsidP="006E21C3">
      <w:pPr>
        <w:rPr>
          <w:rFonts w:ascii="Verdana" w:hAnsi="Verdana"/>
          <w:color w:val="7F7F7F" w:themeColor="text1" w:themeTint="80"/>
          <w:sz w:val="16"/>
          <w:szCs w:val="16"/>
        </w:rPr>
      </w:pPr>
      <w:r w:rsidRPr="006E21C3">
        <w:rPr>
          <w:rFonts w:ascii="Verdana" w:hAnsi="Verdana"/>
          <w:color w:val="7F7F7F" w:themeColor="text1" w:themeTint="80"/>
          <w:sz w:val="16"/>
          <w:szCs w:val="16"/>
        </w:rPr>
        <w:t xml:space="preserve">Le but poursuivi par </w:t>
      </w:r>
      <w:proofErr w:type="spellStart"/>
      <w:r w:rsidRPr="006E21C3">
        <w:rPr>
          <w:rFonts w:ascii="Verdana" w:hAnsi="Verdana"/>
          <w:color w:val="7F7F7F" w:themeColor="text1" w:themeTint="80"/>
          <w:sz w:val="16"/>
          <w:szCs w:val="16"/>
        </w:rPr>
        <w:t>Terracycle</w:t>
      </w:r>
      <w:proofErr w:type="spellEnd"/>
      <w:r w:rsidRPr="006E21C3">
        <w:rPr>
          <w:rFonts w:ascii="Verdana" w:hAnsi="Verdana"/>
          <w:color w:val="7F7F7F" w:themeColor="text1" w:themeTint="80"/>
          <w:sz w:val="16"/>
          <w:szCs w:val="16"/>
        </w:rPr>
        <w:t xml:space="preserve"> est la mise en place de partenariats avec des entreprises, des fabricants et des organisations pour collecter ces déchets spécifiques, les recycler de manière innovante et les transformer en nouveaux produits.</w:t>
      </w:r>
    </w:p>
    <w:p w14:paraId="3C6C36C9" w14:textId="77777777" w:rsidR="006E21C3" w:rsidRPr="008233EA" w:rsidRDefault="006E21C3" w:rsidP="001A3FEE">
      <w:pPr>
        <w:pStyle w:val="Standard"/>
        <w:jc w:val="both"/>
        <w:rPr>
          <w:rStyle w:val="jsgrdq"/>
          <w:rFonts w:ascii="Verdana" w:hAnsi="Verdana"/>
          <w:color w:val="7F7F7F" w:themeColor="text1" w:themeTint="80"/>
          <w:sz w:val="16"/>
          <w:szCs w:val="16"/>
        </w:rPr>
      </w:pPr>
    </w:p>
    <w:p w14:paraId="44029479" w14:textId="54D28B3E" w:rsidR="00606772" w:rsidRPr="008233EA" w:rsidRDefault="00B66596" w:rsidP="00155A54">
      <w:pPr>
        <w:pStyle w:val="Standard"/>
        <w:spacing w:after="0"/>
        <w:rPr>
          <w:rStyle w:val="jsgrdq"/>
          <w:rFonts w:ascii="Verdana" w:hAnsi="Verdana"/>
          <w:color w:val="279097"/>
          <w:sz w:val="24"/>
          <w:szCs w:val="24"/>
        </w:rPr>
      </w:pPr>
      <w:r w:rsidRPr="008233EA">
        <w:rPr>
          <w:rFonts w:ascii="Verdana" w:hAnsi="Verdana"/>
          <w:noProof/>
        </w:rPr>
        <w:drawing>
          <wp:anchor distT="0" distB="0" distL="114300" distR="114300" simplePos="0" relativeHeight="251659264" behindDoc="1" locked="0" layoutInCell="1" allowOverlap="1" wp14:anchorId="7077B655" wp14:editId="0E5783E9">
            <wp:simplePos x="0" y="0"/>
            <wp:positionH relativeFrom="column">
              <wp:posOffset>-51435</wp:posOffset>
            </wp:positionH>
            <wp:positionV relativeFrom="paragraph">
              <wp:posOffset>113030</wp:posOffset>
            </wp:positionV>
            <wp:extent cx="572770" cy="517525"/>
            <wp:effectExtent l="0" t="0" r="0" b="0"/>
            <wp:wrapTight wrapText="bothSides">
              <wp:wrapPolygon edited="0">
                <wp:start x="0" y="0"/>
                <wp:lineTo x="0" y="20672"/>
                <wp:lineTo x="20834" y="20672"/>
                <wp:lineTo x="20834"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2770" cy="517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4F7594" w14:textId="676B8198" w:rsidR="00155A54" w:rsidRPr="00471856" w:rsidRDefault="00471856" w:rsidP="00155A54">
      <w:pPr>
        <w:pStyle w:val="Standard"/>
        <w:spacing w:after="0"/>
        <w:rPr>
          <w:rStyle w:val="jsgrdq"/>
          <w:rFonts w:ascii="Verdana" w:hAnsi="Verdana"/>
          <w:b/>
          <w:bCs/>
          <w:i/>
          <w:iCs/>
          <w:color w:val="279097"/>
          <w:sz w:val="20"/>
          <w:szCs w:val="20"/>
        </w:rPr>
      </w:pPr>
      <w:r w:rsidRPr="00471856">
        <w:rPr>
          <w:rStyle w:val="jsgrdq"/>
          <w:rFonts w:ascii="Verdana" w:hAnsi="Verdana"/>
          <w:b/>
          <w:bCs/>
          <w:i/>
          <w:iCs/>
          <w:color w:val="279097"/>
          <w:sz w:val="20"/>
          <w:szCs w:val="20"/>
        </w:rPr>
        <w:t xml:space="preserve">    </w:t>
      </w:r>
      <w:r w:rsidR="00606772" w:rsidRPr="00471856">
        <w:rPr>
          <w:rStyle w:val="jsgrdq"/>
          <w:rFonts w:ascii="Verdana" w:hAnsi="Verdana"/>
          <w:b/>
          <w:bCs/>
          <w:i/>
          <w:iCs/>
          <w:color w:val="279097"/>
          <w:sz w:val="20"/>
          <w:szCs w:val="20"/>
        </w:rPr>
        <w:t>Les</w:t>
      </w:r>
      <w:r w:rsidR="00155A54" w:rsidRPr="00471856">
        <w:rPr>
          <w:rStyle w:val="jsgrdq"/>
          <w:rFonts w:ascii="Verdana" w:hAnsi="Verdana"/>
          <w:b/>
          <w:bCs/>
          <w:i/>
          <w:iCs/>
          <w:color w:val="279097"/>
          <w:sz w:val="20"/>
          <w:szCs w:val="20"/>
        </w:rPr>
        <w:t xml:space="preserve"> déchets mercuriels</w:t>
      </w:r>
    </w:p>
    <w:p w14:paraId="3C609C30" w14:textId="77777777" w:rsidR="004F438E" w:rsidRPr="008233EA" w:rsidRDefault="004F438E" w:rsidP="00155A54">
      <w:pPr>
        <w:pStyle w:val="Standard"/>
        <w:spacing w:after="0"/>
        <w:rPr>
          <w:rStyle w:val="jsgrdq"/>
          <w:rFonts w:ascii="Verdana" w:hAnsi="Verdana"/>
          <w:color w:val="279097"/>
          <w:sz w:val="24"/>
          <w:szCs w:val="24"/>
        </w:rPr>
      </w:pPr>
    </w:p>
    <w:p w14:paraId="4B8DEDDD" w14:textId="0437217B" w:rsidR="004A3348" w:rsidRPr="008233EA" w:rsidRDefault="00B66596" w:rsidP="00155A54">
      <w:pPr>
        <w:pStyle w:val="Standard"/>
        <w:spacing w:after="0"/>
        <w:rPr>
          <w:rFonts w:ascii="Verdana" w:hAnsi="Verdana"/>
          <w:bCs/>
          <w:color w:val="7F7F7F" w:themeColor="text1" w:themeTint="80"/>
          <w:sz w:val="16"/>
          <w:szCs w:val="16"/>
        </w:rPr>
      </w:pPr>
      <w:r>
        <w:rPr>
          <w:rFonts w:ascii="Verdana" w:hAnsi="Verdana"/>
          <w:bCs/>
          <w:color w:val="7F7F7F" w:themeColor="text1" w:themeTint="80"/>
          <w:sz w:val="16"/>
          <w:szCs w:val="16"/>
        </w:rPr>
        <w:t xml:space="preserve">     </w:t>
      </w:r>
      <w:r w:rsidR="00DD0F3B">
        <w:rPr>
          <w:rFonts w:ascii="Verdana" w:hAnsi="Verdana"/>
          <w:bCs/>
          <w:color w:val="7F7F7F" w:themeColor="text1" w:themeTint="80"/>
          <w:sz w:val="16"/>
          <w:szCs w:val="16"/>
        </w:rPr>
        <w:t>Ces d</w:t>
      </w:r>
      <w:r w:rsidR="004F438E" w:rsidRPr="008233EA">
        <w:rPr>
          <w:rFonts w:ascii="Verdana" w:hAnsi="Verdana"/>
          <w:bCs/>
          <w:color w:val="7F7F7F" w:themeColor="text1" w:themeTint="80"/>
          <w:sz w:val="16"/>
          <w:szCs w:val="16"/>
        </w:rPr>
        <w:t>échets disposent d’une filière tracée et obligatoire</w:t>
      </w:r>
      <w:r w:rsidR="00DD0F3B">
        <w:rPr>
          <w:rFonts w:ascii="Verdana" w:hAnsi="Verdana"/>
          <w:bCs/>
          <w:color w:val="7F7F7F" w:themeColor="text1" w:themeTint="80"/>
          <w:sz w:val="16"/>
          <w:szCs w:val="16"/>
        </w:rPr>
        <w:t>.</w:t>
      </w:r>
    </w:p>
    <w:p w14:paraId="75D3DEBF" w14:textId="77777777" w:rsidR="004F438E" w:rsidRPr="008233EA" w:rsidRDefault="004F438E" w:rsidP="00155A54">
      <w:pPr>
        <w:pStyle w:val="Standard"/>
        <w:spacing w:after="0"/>
        <w:rPr>
          <w:rStyle w:val="jsgrdq"/>
          <w:rFonts w:ascii="Verdana" w:hAnsi="Verdana"/>
          <w:color w:val="279097"/>
          <w:sz w:val="16"/>
          <w:szCs w:val="16"/>
        </w:rPr>
      </w:pPr>
    </w:p>
    <w:p w14:paraId="51DEFA11" w14:textId="4E425421" w:rsidR="004F438E" w:rsidRPr="00B66596" w:rsidRDefault="004A3348" w:rsidP="00155A54">
      <w:pPr>
        <w:pStyle w:val="Standard"/>
        <w:spacing w:after="0"/>
        <w:rPr>
          <w:rStyle w:val="jsgrdq"/>
          <w:rFonts w:ascii="Verdana" w:hAnsi="Verdana"/>
          <w:color w:val="279097"/>
          <w:sz w:val="16"/>
          <w:szCs w:val="16"/>
          <w:u w:val="single"/>
        </w:rPr>
      </w:pPr>
      <w:r w:rsidRPr="00B66596">
        <w:rPr>
          <w:rStyle w:val="jsgrdq"/>
          <w:rFonts w:ascii="Verdana" w:hAnsi="Verdana"/>
          <w:color w:val="279097"/>
          <w:sz w:val="16"/>
          <w:szCs w:val="16"/>
          <w:u w:val="single"/>
        </w:rPr>
        <w:t>Réglementation</w:t>
      </w:r>
    </w:p>
    <w:p w14:paraId="13927834" w14:textId="77777777" w:rsidR="008E7163" w:rsidRPr="00DD0F3B" w:rsidRDefault="008E7163" w:rsidP="00155A54">
      <w:pPr>
        <w:pStyle w:val="Standard"/>
        <w:spacing w:after="0"/>
        <w:rPr>
          <w:rStyle w:val="jsgrdq"/>
          <w:rFonts w:ascii="Verdana" w:hAnsi="Verdana"/>
          <w:color w:val="279097"/>
          <w:sz w:val="16"/>
          <w:szCs w:val="16"/>
        </w:rPr>
      </w:pPr>
    </w:p>
    <w:p w14:paraId="4576C101" w14:textId="77777777" w:rsidR="00BE0504" w:rsidRDefault="004A3348" w:rsidP="00B50CA5">
      <w:pPr>
        <w:pStyle w:val="Standard"/>
        <w:spacing w:after="0"/>
        <w:jc w:val="both"/>
        <w:rPr>
          <w:rFonts w:ascii="Verdana" w:hAnsi="Verdana"/>
          <w:color w:val="767171" w:themeColor="background2" w:themeShade="80"/>
          <w:sz w:val="16"/>
          <w:szCs w:val="16"/>
        </w:rPr>
      </w:pPr>
      <w:r w:rsidRPr="008233EA">
        <w:rPr>
          <w:rFonts w:ascii="Verdana" w:hAnsi="Verdana"/>
          <w:color w:val="767171" w:themeColor="background2" w:themeShade="80"/>
          <w:sz w:val="16"/>
          <w:szCs w:val="16"/>
        </w:rPr>
        <w:t xml:space="preserve">Les déchets mercuriels sont issus des déchets d’amalgames. Leur gestion est définie par l’arrêté du 30 mars 1998. </w:t>
      </w:r>
    </w:p>
    <w:p w14:paraId="5ADDF2E1" w14:textId="77777777" w:rsidR="007B5DCA" w:rsidRDefault="007B5DCA" w:rsidP="00B50CA5">
      <w:pPr>
        <w:pStyle w:val="Standard"/>
        <w:spacing w:after="0"/>
        <w:jc w:val="both"/>
        <w:rPr>
          <w:rFonts w:ascii="Verdana" w:hAnsi="Verdana"/>
          <w:color w:val="767171" w:themeColor="background2" w:themeShade="80"/>
          <w:sz w:val="16"/>
          <w:szCs w:val="16"/>
        </w:rPr>
      </w:pPr>
    </w:p>
    <w:p w14:paraId="77768A35" w14:textId="18731140" w:rsidR="008E7163" w:rsidRPr="008233EA" w:rsidRDefault="008E7163" w:rsidP="008E7163">
      <w:pPr>
        <w:pStyle w:val="Standard"/>
        <w:spacing w:after="0"/>
        <w:jc w:val="both"/>
        <w:rPr>
          <w:rStyle w:val="jsgrdq"/>
          <w:rFonts w:ascii="Verdana" w:hAnsi="Verdana"/>
          <w:color w:val="7F7F7F" w:themeColor="text1" w:themeTint="80"/>
          <w:sz w:val="16"/>
          <w:szCs w:val="16"/>
        </w:rPr>
      </w:pPr>
      <w:r w:rsidRPr="008233EA">
        <w:rPr>
          <w:rStyle w:val="jsgrdq"/>
          <w:rFonts w:ascii="Verdana" w:hAnsi="Verdana"/>
          <w:color w:val="7F7F7F" w:themeColor="text1" w:themeTint="80"/>
          <w:sz w:val="16"/>
          <w:szCs w:val="16"/>
        </w:rPr>
        <w:t xml:space="preserve">La loi du 7 avril 1998 impose au chirurgien-dentiste de ne plus contaminer l'environnement </w:t>
      </w:r>
      <w:r w:rsidR="00422EBA">
        <w:rPr>
          <w:rStyle w:val="jsgrdq"/>
          <w:rFonts w:ascii="Verdana" w:hAnsi="Verdana"/>
          <w:color w:val="7F7F7F" w:themeColor="text1" w:themeTint="80"/>
          <w:sz w:val="16"/>
          <w:szCs w:val="16"/>
        </w:rPr>
        <w:t xml:space="preserve">par le mercure </w:t>
      </w:r>
      <w:r w:rsidRPr="008233EA">
        <w:rPr>
          <w:rStyle w:val="jsgrdq"/>
          <w:rFonts w:ascii="Verdana" w:hAnsi="Verdana"/>
          <w:color w:val="7F7F7F" w:themeColor="text1" w:themeTint="80"/>
          <w:sz w:val="16"/>
          <w:szCs w:val="16"/>
        </w:rPr>
        <w:t>à partir du 1er avril 2001.</w:t>
      </w:r>
      <w:r w:rsidRPr="008E7163">
        <w:rPr>
          <w:rStyle w:val="jsgrdq"/>
          <w:rFonts w:ascii="Verdana" w:hAnsi="Verdana"/>
          <w:color w:val="FF0000"/>
          <w:sz w:val="16"/>
          <w:szCs w:val="16"/>
        </w:rPr>
        <w:t> </w:t>
      </w:r>
    </w:p>
    <w:p w14:paraId="5FB46621" w14:textId="77777777" w:rsidR="008E7163" w:rsidRDefault="008E7163" w:rsidP="00B50CA5">
      <w:pPr>
        <w:pStyle w:val="Standard"/>
        <w:spacing w:after="0"/>
        <w:jc w:val="both"/>
        <w:rPr>
          <w:rFonts w:ascii="Verdana" w:hAnsi="Verdana"/>
          <w:color w:val="767171" w:themeColor="background2" w:themeShade="80"/>
          <w:sz w:val="16"/>
          <w:szCs w:val="16"/>
        </w:rPr>
      </w:pPr>
    </w:p>
    <w:p w14:paraId="3DEB088B" w14:textId="506C242B" w:rsidR="004A3348" w:rsidRPr="008233EA" w:rsidRDefault="004A3348" w:rsidP="00B50CA5">
      <w:pPr>
        <w:pStyle w:val="Standard"/>
        <w:spacing w:after="0"/>
        <w:jc w:val="both"/>
        <w:rPr>
          <w:rFonts w:ascii="Verdana" w:hAnsi="Verdana"/>
          <w:color w:val="767171" w:themeColor="background2" w:themeShade="80"/>
          <w:sz w:val="16"/>
          <w:szCs w:val="16"/>
        </w:rPr>
      </w:pPr>
      <w:r w:rsidRPr="008233EA">
        <w:rPr>
          <w:rFonts w:ascii="Verdana" w:hAnsi="Verdana"/>
          <w:color w:val="767171" w:themeColor="background2" w:themeShade="80"/>
          <w:sz w:val="16"/>
          <w:szCs w:val="16"/>
        </w:rPr>
        <w:t>L’écotoxicité du mercure issue de son incinération ou de sa dissémination dans les milieux aquatiques via les effluents est telle qu’elle doit être maîtrisée</w:t>
      </w:r>
      <w:r w:rsidR="00BE0504">
        <w:rPr>
          <w:rFonts w:ascii="Verdana" w:hAnsi="Verdana"/>
          <w:color w:val="767171" w:themeColor="background2" w:themeShade="80"/>
          <w:sz w:val="16"/>
          <w:szCs w:val="16"/>
        </w:rPr>
        <w:t>.</w:t>
      </w:r>
    </w:p>
    <w:p w14:paraId="37BB5C2D" w14:textId="77777777" w:rsidR="004F438E" w:rsidRDefault="004A3348" w:rsidP="00B50CA5">
      <w:pPr>
        <w:pStyle w:val="Standard"/>
        <w:spacing w:after="0"/>
        <w:jc w:val="both"/>
        <w:rPr>
          <w:rFonts w:ascii="Verdana" w:hAnsi="Verdana"/>
          <w:color w:val="767171" w:themeColor="background2" w:themeShade="80"/>
          <w:sz w:val="16"/>
          <w:szCs w:val="16"/>
        </w:rPr>
      </w:pPr>
      <w:r w:rsidRPr="008233EA">
        <w:rPr>
          <w:rFonts w:ascii="Verdana" w:hAnsi="Verdana"/>
          <w:color w:val="767171" w:themeColor="background2" w:themeShade="80"/>
          <w:sz w:val="16"/>
          <w:szCs w:val="16"/>
        </w:rPr>
        <w:t>Pour répondre aux menaces de l’utilisation du mercure sur l’environnement et sur la santé, la convention mondiale de Minamata, à l’initiative du Programme des Nations Unies pour l’Environnement (PNUE), a été adoptée. Elle inclut l’abandon progressif de l’amalgame dentaire.</w:t>
      </w:r>
    </w:p>
    <w:p w14:paraId="2B351840" w14:textId="77777777" w:rsidR="007B5DCA" w:rsidRPr="008233EA" w:rsidRDefault="007B5DCA" w:rsidP="00B50CA5">
      <w:pPr>
        <w:pStyle w:val="Standard"/>
        <w:spacing w:after="0"/>
        <w:jc w:val="both"/>
        <w:rPr>
          <w:rFonts w:ascii="Verdana" w:hAnsi="Verdana"/>
          <w:color w:val="767171" w:themeColor="background2" w:themeShade="80"/>
          <w:sz w:val="16"/>
          <w:szCs w:val="16"/>
        </w:rPr>
      </w:pPr>
    </w:p>
    <w:p w14:paraId="3B52B83E" w14:textId="6086AA0D" w:rsidR="004F438E" w:rsidRPr="008233EA" w:rsidRDefault="004A3348" w:rsidP="00B50CA5">
      <w:pPr>
        <w:pStyle w:val="Standard"/>
        <w:spacing w:after="0"/>
        <w:jc w:val="both"/>
        <w:rPr>
          <w:rFonts w:ascii="Verdana" w:hAnsi="Verdana"/>
          <w:color w:val="767171" w:themeColor="background2" w:themeShade="80"/>
          <w:sz w:val="16"/>
          <w:szCs w:val="16"/>
        </w:rPr>
      </w:pPr>
      <w:r w:rsidRPr="008233EA">
        <w:rPr>
          <w:rFonts w:ascii="Verdana" w:hAnsi="Verdana"/>
          <w:color w:val="767171" w:themeColor="background2" w:themeShade="80"/>
          <w:sz w:val="16"/>
          <w:szCs w:val="16"/>
        </w:rPr>
        <w:t>En réponse à cette convention, une loi européenne impose à l’ensemble des praticiens de la zone euro de ne plus poser d’amalgames sur les enfants de moins de 15 ans, les femmes enceintes et les femmes allaitantes, depuis le 1</w:t>
      </w:r>
      <w:r w:rsidRPr="007B5DCA">
        <w:rPr>
          <w:rFonts w:ascii="Verdana" w:hAnsi="Verdana"/>
          <w:color w:val="767171" w:themeColor="background2" w:themeShade="80"/>
          <w:sz w:val="16"/>
          <w:szCs w:val="16"/>
          <w:vertAlign w:val="superscript"/>
        </w:rPr>
        <w:t>er</w:t>
      </w:r>
      <w:r w:rsidRPr="008233EA">
        <w:rPr>
          <w:rFonts w:ascii="Verdana" w:hAnsi="Verdana"/>
          <w:color w:val="767171" w:themeColor="background2" w:themeShade="80"/>
          <w:sz w:val="16"/>
          <w:szCs w:val="16"/>
        </w:rPr>
        <w:t xml:space="preserve"> juillet 2018. L’élimination progressive doit se poursuivre</w:t>
      </w:r>
      <w:r w:rsidR="00ED559F" w:rsidRPr="008233EA">
        <w:rPr>
          <w:rFonts w:ascii="Verdana" w:hAnsi="Verdana"/>
          <w:color w:val="767171" w:themeColor="background2" w:themeShade="80"/>
          <w:sz w:val="16"/>
          <w:szCs w:val="16"/>
        </w:rPr>
        <w:t>.</w:t>
      </w:r>
    </w:p>
    <w:p w14:paraId="5820DE94" w14:textId="4AA73627" w:rsidR="00A31F8C" w:rsidRPr="00471856" w:rsidRDefault="004A3348" w:rsidP="00B50CA5">
      <w:pPr>
        <w:pStyle w:val="Standard"/>
        <w:spacing w:after="0"/>
        <w:jc w:val="both"/>
        <w:rPr>
          <w:rFonts w:ascii="Verdana" w:hAnsi="Verdana"/>
          <w:color w:val="3B3838" w:themeColor="background2" w:themeShade="40"/>
          <w:sz w:val="16"/>
          <w:szCs w:val="16"/>
        </w:rPr>
      </w:pPr>
      <w:r w:rsidRPr="008233EA">
        <w:rPr>
          <w:rFonts w:ascii="Verdana" w:hAnsi="Verdana"/>
          <w:color w:val="767171" w:themeColor="background2" w:themeShade="80"/>
          <w:sz w:val="16"/>
          <w:szCs w:val="16"/>
        </w:rPr>
        <w:t>Sobriété chimique et risques émergents</w:t>
      </w:r>
      <w:r w:rsidR="00ED559F" w:rsidRPr="008233EA">
        <w:rPr>
          <w:rFonts w:ascii="Verdana" w:hAnsi="Verdana"/>
          <w:color w:val="767171" w:themeColor="background2" w:themeShade="80"/>
          <w:sz w:val="16"/>
          <w:szCs w:val="16"/>
        </w:rPr>
        <w:t> :</w:t>
      </w:r>
      <w:r w:rsidRPr="00471856">
        <w:rPr>
          <w:rFonts w:ascii="Verdana" w:hAnsi="Verdana"/>
          <w:color w:val="3B3838" w:themeColor="background2" w:themeShade="40"/>
          <w:sz w:val="16"/>
          <w:szCs w:val="16"/>
        </w:rPr>
        <w:t xml:space="preserve"> interdiction complète avant 2030. </w:t>
      </w:r>
    </w:p>
    <w:p w14:paraId="5F80DD68" w14:textId="4225DEC6" w:rsidR="004A3348" w:rsidRPr="008233EA" w:rsidRDefault="004A3348" w:rsidP="00B50CA5">
      <w:pPr>
        <w:pStyle w:val="Standard"/>
        <w:spacing w:after="0"/>
        <w:jc w:val="both"/>
        <w:rPr>
          <w:rFonts w:ascii="Verdana" w:hAnsi="Verdana"/>
          <w:color w:val="767171" w:themeColor="background2" w:themeShade="80"/>
          <w:sz w:val="16"/>
          <w:szCs w:val="16"/>
        </w:rPr>
      </w:pPr>
      <w:r w:rsidRPr="008233EA">
        <w:rPr>
          <w:rFonts w:ascii="Verdana" w:hAnsi="Verdana"/>
          <w:color w:val="767171" w:themeColor="background2" w:themeShade="80"/>
          <w:sz w:val="16"/>
          <w:szCs w:val="16"/>
        </w:rPr>
        <w:t>Même si la pose d’amalgame est de moins en moins pratiquée, la problématique de la gestion des déchets mercuriels ne doit pas être éludée. La dépose d’anciens amalgames sur indication thérapeutique ou l’extraction d’une dent porteuse d’une reconstitution par amalgame continuent de produire ce type de déchets.</w:t>
      </w:r>
    </w:p>
    <w:p w14:paraId="685E65D6" w14:textId="77777777" w:rsidR="00155A54" w:rsidRPr="008233EA" w:rsidRDefault="00155A54" w:rsidP="00155A54">
      <w:pPr>
        <w:pStyle w:val="Standard"/>
        <w:spacing w:after="0"/>
        <w:jc w:val="both"/>
        <w:rPr>
          <w:rStyle w:val="jsgrdq"/>
          <w:rFonts w:ascii="Verdana" w:hAnsi="Verdana"/>
          <w:b/>
          <w:bCs/>
          <w:color w:val="7F7F7F" w:themeColor="text1" w:themeTint="80"/>
          <w:sz w:val="16"/>
          <w:szCs w:val="16"/>
        </w:rPr>
      </w:pPr>
    </w:p>
    <w:p w14:paraId="69F976C1" w14:textId="224DCAD8" w:rsidR="00606772" w:rsidRPr="008233EA" w:rsidRDefault="00606772" w:rsidP="00155A54">
      <w:pPr>
        <w:pStyle w:val="Standard"/>
        <w:spacing w:after="0"/>
        <w:jc w:val="both"/>
        <w:rPr>
          <w:rStyle w:val="jsgrdq"/>
          <w:rFonts w:ascii="Verdana" w:hAnsi="Verdana"/>
          <w:color w:val="7F7F7F" w:themeColor="text1" w:themeTint="80"/>
          <w:sz w:val="16"/>
          <w:szCs w:val="16"/>
        </w:rPr>
      </w:pPr>
    </w:p>
    <w:p w14:paraId="3DE1CB56" w14:textId="77777777" w:rsidR="00147A37" w:rsidRPr="00B66596" w:rsidRDefault="00606772" w:rsidP="00147A37">
      <w:pPr>
        <w:pStyle w:val="Standard"/>
        <w:spacing w:after="0"/>
        <w:rPr>
          <w:rStyle w:val="jsgrdq"/>
          <w:rFonts w:ascii="Verdana" w:hAnsi="Verdana"/>
          <w:color w:val="279097"/>
          <w:sz w:val="16"/>
          <w:szCs w:val="16"/>
          <w:u w:val="single"/>
        </w:rPr>
      </w:pPr>
      <w:r w:rsidRPr="00B66596">
        <w:rPr>
          <w:rStyle w:val="jsgrdq"/>
          <w:rFonts w:ascii="Verdana" w:hAnsi="Verdana"/>
          <w:color w:val="279097"/>
          <w:sz w:val="16"/>
          <w:szCs w:val="16"/>
          <w:u w:val="single"/>
        </w:rPr>
        <w:t>Mode de traitement</w:t>
      </w:r>
    </w:p>
    <w:p w14:paraId="00516983" w14:textId="77777777" w:rsidR="008E7163" w:rsidRPr="008E7163" w:rsidRDefault="008E7163" w:rsidP="00147A37">
      <w:pPr>
        <w:pStyle w:val="Standard"/>
        <w:spacing w:after="0"/>
        <w:rPr>
          <w:rStyle w:val="jsgrdq"/>
          <w:rFonts w:ascii="Verdana" w:hAnsi="Verdana"/>
          <w:color w:val="279097"/>
          <w:sz w:val="16"/>
          <w:szCs w:val="16"/>
        </w:rPr>
      </w:pPr>
    </w:p>
    <w:p w14:paraId="1D6B7632" w14:textId="232C033B" w:rsidR="00606772" w:rsidRPr="008233EA" w:rsidRDefault="00606772" w:rsidP="00155A54">
      <w:pPr>
        <w:pStyle w:val="Standard"/>
        <w:spacing w:after="0"/>
        <w:jc w:val="both"/>
        <w:rPr>
          <w:rStyle w:val="jsgrdq"/>
          <w:rFonts w:ascii="Verdana" w:hAnsi="Verdana"/>
          <w:color w:val="7F7F7F" w:themeColor="text1" w:themeTint="80"/>
          <w:sz w:val="16"/>
          <w:szCs w:val="16"/>
        </w:rPr>
      </w:pPr>
      <w:r w:rsidRPr="008233EA">
        <w:rPr>
          <w:rFonts w:ascii="Verdana" w:hAnsi="Verdana"/>
          <w:color w:val="767171" w:themeColor="background2" w:themeShade="80"/>
          <w:sz w:val="16"/>
          <w:szCs w:val="16"/>
        </w:rPr>
        <w:t>Les déchets mercuriels ne doivent en aucun cas être traités en incinérateurs ou mis en décharge. Leur traitement se fait au sein d’entreprises spécialisées assurant les conditions indispensables à la gestion du risque environnemental et sanitaire du personnel exposé</w:t>
      </w:r>
      <w:r w:rsidR="002277FE">
        <w:rPr>
          <w:rFonts w:ascii="Verdana" w:hAnsi="Verdana"/>
          <w:color w:val="767171" w:themeColor="background2" w:themeShade="80"/>
          <w:sz w:val="16"/>
          <w:szCs w:val="16"/>
        </w:rPr>
        <w:t>.</w:t>
      </w:r>
    </w:p>
    <w:p w14:paraId="1C2EA08C" w14:textId="77777777" w:rsidR="00155A54" w:rsidRPr="008233EA" w:rsidRDefault="00155A54" w:rsidP="002277FE">
      <w:pPr>
        <w:pStyle w:val="Standard"/>
        <w:spacing w:after="0"/>
        <w:jc w:val="both"/>
        <w:rPr>
          <w:rStyle w:val="jsgrdq"/>
          <w:rFonts w:ascii="Verdana" w:hAnsi="Verdana"/>
          <w:color w:val="7F7F7F" w:themeColor="text1" w:themeTint="80"/>
          <w:sz w:val="16"/>
          <w:szCs w:val="16"/>
        </w:rPr>
      </w:pPr>
    </w:p>
    <w:p w14:paraId="12F707B8" w14:textId="7A1260C3" w:rsidR="00155A54" w:rsidRPr="008233EA" w:rsidRDefault="00155A54" w:rsidP="002277FE">
      <w:pPr>
        <w:pStyle w:val="Standard"/>
        <w:numPr>
          <w:ilvl w:val="0"/>
          <w:numId w:val="25"/>
        </w:numPr>
        <w:spacing w:after="0"/>
        <w:jc w:val="both"/>
        <w:rPr>
          <w:rStyle w:val="jsgrdq"/>
          <w:rFonts w:ascii="Verdana" w:hAnsi="Verdana"/>
          <w:color w:val="7F7F7F" w:themeColor="text1" w:themeTint="80"/>
          <w:sz w:val="16"/>
          <w:szCs w:val="16"/>
        </w:rPr>
      </w:pPr>
      <w:r w:rsidRPr="008233EA">
        <w:rPr>
          <w:rStyle w:val="jsgrdq"/>
          <w:rFonts w:ascii="Verdana" w:hAnsi="Verdana"/>
          <w:color w:val="7F7F7F" w:themeColor="text1" w:themeTint="80"/>
          <w:sz w:val="16"/>
          <w:szCs w:val="16"/>
        </w:rPr>
        <w:t>La récupération des métaux lourds dans les eaux usées du cabinet dentaire</w:t>
      </w:r>
      <w:r w:rsidR="00ED559F" w:rsidRPr="008233EA">
        <w:rPr>
          <w:rStyle w:val="jsgrdq"/>
          <w:rFonts w:ascii="Verdana" w:hAnsi="Verdana"/>
          <w:color w:val="7F7F7F" w:themeColor="text1" w:themeTint="80"/>
          <w:sz w:val="16"/>
          <w:szCs w:val="16"/>
        </w:rPr>
        <w:t xml:space="preserve"> </w:t>
      </w:r>
      <w:r w:rsidRPr="008233EA">
        <w:rPr>
          <w:rStyle w:val="jsgrdq"/>
          <w:rFonts w:ascii="Verdana" w:hAnsi="Verdana"/>
          <w:color w:val="7F7F7F" w:themeColor="text1" w:themeTint="80"/>
          <w:sz w:val="16"/>
          <w:szCs w:val="16"/>
        </w:rPr>
        <w:t xml:space="preserve">(un arrêté du 30 mars 1998 donne l'obligation d'équiper les </w:t>
      </w:r>
      <w:proofErr w:type="spellStart"/>
      <w:r w:rsidRPr="008233EA">
        <w:rPr>
          <w:rStyle w:val="jsgrdq"/>
          <w:rFonts w:ascii="Verdana" w:hAnsi="Verdana"/>
          <w:color w:val="7F7F7F" w:themeColor="text1" w:themeTint="80"/>
          <w:sz w:val="16"/>
          <w:szCs w:val="16"/>
        </w:rPr>
        <w:t>units</w:t>
      </w:r>
      <w:proofErr w:type="spellEnd"/>
      <w:r w:rsidRPr="008233EA">
        <w:rPr>
          <w:rStyle w:val="jsgrdq"/>
          <w:rFonts w:ascii="Verdana" w:hAnsi="Verdana"/>
          <w:color w:val="7F7F7F" w:themeColor="text1" w:themeTint="80"/>
          <w:sz w:val="16"/>
          <w:szCs w:val="16"/>
        </w:rPr>
        <w:t xml:space="preserve"> de séparateur</w:t>
      </w:r>
      <w:r w:rsidR="00ED559F" w:rsidRPr="008233EA">
        <w:rPr>
          <w:rStyle w:val="jsgrdq"/>
          <w:rFonts w:ascii="Verdana" w:hAnsi="Verdana"/>
          <w:color w:val="7F7F7F" w:themeColor="text1" w:themeTint="80"/>
          <w:sz w:val="16"/>
          <w:szCs w:val="16"/>
        </w:rPr>
        <w:t xml:space="preserve"> </w:t>
      </w:r>
      <w:r w:rsidRPr="008233EA">
        <w:rPr>
          <w:rStyle w:val="jsgrdq"/>
          <w:rFonts w:ascii="Verdana" w:hAnsi="Verdana"/>
          <w:color w:val="7F7F7F" w:themeColor="text1" w:themeTint="80"/>
          <w:sz w:val="16"/>
          <w:szCs w:val="16"/>
        </w:rPr>
        <w:t>à amalgames),</w:t>
      </w:r>
    </w:p>
    <w:p w14:paraId="29EFCACD" w14:textId="77777777" w:rsidR="00155A54" w:rsidRPr="008233EA" w:rsidRDefault="00155A54" w:rsidP="002277FE">
      <w:pPr>
        <w:pStyle w:val="Standard"/>
        <w:spacing w:after="0"/>
        <w:jc w:val="both"/>
        <w:rPr>
          <w:rStyle w:val="jsgrdq"/>
          <w:rFonts w:ascii="Verdana" w:hAnsi="Verdana"/>
          <w:color w:val="7F7F7F" w:themeColor="text1" w:themeTint="80"/>
          <w:sz w:val="16"/>
          <w:szCs w:val="16"/>
        </w:rPr>
      </w:pPr>
    </w:p>
    <w:p w14:paraId="1CF2BF49" w14:textId="7F3512FE" w:rsidR="00155A54" w:rsidRPr="008233EA" w:rsidRDefault="00155A54" w:rsidP="002277FE">
      <w:pPr>
        <w:pStyle w:val="Standard"/>
        <w:numPr>
          <w:ilvl w:val="0"/>
          <w:numId w:val="25"/>
        </w:numPr>
        <w:spacing w:after="0"/>
        <w:jc w:val="both"/>
        <w:rPr>
          <w:rStyle w:val="jsgrdq"/>
          <w:rFonts w:ascii="Verdana" w:hAnsi="Verdana"/>
          <w:color w:val="7F7F7F" w:themeColor="text1" w:themeTint="80"/>
          <w:sz w:val="16"/>
          <w:szCs w:val="16"/>
        </w:rPr>
      </w:pPr>
      <w:r w:rsidRPr="008233EA">
        <w:rPr>
          <w:rStyle w:val="jsgrdq"/>
          <w:rFonts w:ascii="Verdana" w:hAnsi="Verdana"/>
          <w:color w:val="7F7F7F" w:themeColor="text1" w:themeTint="80"/>
          <w:sz w:val="16"/>
          <w:szCs w:val="16"/>
        </w:rPr>
        <w:t>La collecte de l’ensemble des déchets d‘amalgames par un organisme</w:t>
      </w:r>
      <w:r w:rsidR="00ED559F" w:rsidRPr="008233EA">
        <w:rPr>
          <w:rStyle w:val="jsgrdq"/>
          <w:rFonts w:ascii="Verdana" w:hAnsi="Verdana"/>
          <w:color w:val="7F7F7F" w:themeColor="text1" w:themeTint="80"/>
          <w:sz w:val="16"/>
          <w:szCs w:val="16"/>
        </w:rPr>
        <w:t xml:space="preserve"> </w:t>
      </w:r>
      <w:r w:rsidRPr="008233EA">
        <w:rPr>
          <w:rStyle w:val="jsgrdq"/>
          <w:rFonts w:ascii="Verdana" w:hAnsi="Verdana"/>
          <w:color w:val="7F7F7F" w:themeColor="text1" w:themeTint="80"/>
          <w:sz w:val="16"/>
          <w:szCs w:val="16"/>
        </w:rPr>
        <w:t>reconnu pour le recyclage et le transfert de ces déchets secs ou liquides. Une</w:t>
      </w:r>
      <w:r w:rsidR="00ED559F" w:rsidRPr="008233EA">
        <w:rPr>
          <w:rStyle w:val="jsgrdq"/>
          <w:rFonts w:ascii="Verdana" w:hAnsi="Verdana"/>
          <w:color w:val="7F7F7F" w:themeColor="text1" w:themeTint="80"/>
          <w:sz w:val="16"/>
          <w:szCs w:val="16"/>
        </w:rPr>
        <w:t xml:space="preserve"> </w:t>
      </w:r>
      <w:r w:rsidRPr="008233EA">
        <w:rPr>
          <w:rStyle w:val="jsgrdq"/>
          <w:rFonts w:ascii="Verdana" w:hAnsi="Verdana"/>
          <w:color w:val="7F7F7F" w:themeColor="text1" w:themeTint="80"/>
          <w:sz w:val="16"/>
          <w:szCs w:val="16"/>
        </w:rPr>
        <w:t>plateforme de transit regroupement est une nécessité et fait l'objet d'une</w:t>
      </w:r>
      <w:r w:rsidR="00ED559F" w:rsidRPr="008233EA">
        <w:rPr>
          <w:rStyle w:val="jsgrdq"/>
          <w:rFonts w:ascii="Verdana" w:hAnsi="Verdana"/>
          <w:color w:val="7F7F7F" w:themeColor="text1" w:themeTint="80"/>
          <w:sz w:val="16"/>
          <w:szCs w:val="16"/>
        </w:rPr>
        <w:t xml:space="preserve"> </w:t>
      </w:r>
      <w:r w:rsidRPr="008233EA">
        <w:rPr>
          <w:rStyle w:val="jsgrdq"/>
          <w:rFonts w:ascii="Verdana" w:hAnsi="Verdana"/>
          <w:color w:val="7F7F7F" w:themeColor="text1" w:themeTint="80"/>
          <w:sz w:val="16"/>
          <w:szCs w:val="16"/>
        </w:rPr>
        <w:t>autorisation préfectorale,</w:t>
      </w:r>
    </w:p>
    <w:p w14:paraId="27A10CD7" w14:textId="77777777" w:rsidR="00155A54" w:rsidRPr="008233EA" w:rsidRDefault="00155A54" w:rsidP="002277FE">
      <w:pPr>
        <w:pStyle w:val="Standard"/>
        <w:spacing w:after="0"/>
        <w:jc w:val="both"/>
        <w:rPr>
          <w:rStyle w:val="jsgrdq"/>
          <w:rFonts w:ascii="Verdana" w:hAnsi="Verdana"/>
          <w:color w:val="7F7F7F" w:themeColor="text1" w:themeTint="80"/>
          <w:sz w:val="16"/>
          <w:szCs w:val="16"/>
        </w:rPr>
      </w:pPr>
    </w:p>
    <w:p w14:paraId="578DA182" w14:textId="6B625E41" w:rsidR="00002703" w:rsidRPr="008233EA" w:rsidRDefault="004F4B4B" w:rsidP="002277FE">
      <w:pPr>
        <w:pStyle w:val="Standard"/>
        <w:numPr>
          <w:ilvl w:val="0"/>
          <w:numId w:val="25"/>
        </w:numPr>
        <w:spacing w:after="0"/>
        <w:jc w:val="both"/>
        <w:rPr>
          <w:rStyle w:val="jsgrdq"/>
          <w:rFonts w:ascii="Verdana" w:hAnsi="Verdana"/>
          <w:color w:val="7F7F7F" w:themeColor="text1" w:themeTint="80"/>
          <w:sz w:val="16"/>
          <w:szCs w:val="16"/>
        </w:rPr>
      </w:pPr>
      <w:r w:rsidRPr="008233EA">
        <w:rPr>
          <w:rStyle w:val="jsgrdq"/>
          <w:rFonts w:ascii="Verdana" w:hAnsi="Verdana"/>
          <w:color w:val="7F7F7F" w:themeColor="text1" w:themeTint="80"/>
          <w:sz w:val="16"/>
          <w:szCs w:val="16"/>
        </w:rPr>
        <w:t>Une</w:t>
      </w:r>
      <w:r w:rsidR="00155A54" w:rsidRPr="008233EA">
        <w:rPr>
          <w:rStyle w:val="jsgrdq"/>
          <w:rFonts w:ascii="Verdana" w:hAnsi="Verdana"/>
          <w:color w:val="7F7F7F" w:themeColor="text1" w:themeTint="80"/>
          <w:sz w:val="16"/>
          <w:szCs w:val="16"/>
        </w:rPr>
        <w:t xml:space="preserve"> procédure spécifique a été mise en place en vue de la prise en charge</w:t>
      </w:r>
      <w:r w:rsidR="00007E80" w:rsidRPr="008233EA">
        <w:rPr>
          <w:rStyle w:val="jsgrdq"/>
          <w:rFonts w:ascii="Verdana" w:hAnsi="Verdana"/>
          <w:color w:val="7F7F7F" w:themeColor="text1" w:themeTint="80"/>
          <w:sz w:val="16"/>
          <w:szCs w:val="16"/>
        </w:rPr>
        <w:t xml:space="preserve"> </w:t>
      </w:r>
      <w:r w:rsidR="00155A54" w:rsidRPr="008233EA">
        <w:rPr>
          <w:rStyle w:val="jsgrdq"/>
          <w:rFonts w:ascii="Verdana" w:hAnsi="Verdana"/>
          <w:color w:val="7F7F7F" w:themeColor="text1" w:themeTint="80"/>
          <w:sz w:val="16"/>
          <w:szCs w:val="16"/>
        </w:rPr>
        <w:t>des déchets d'amalgame issus des cabinets dentaires (</w:t>
      </w:r>
      <w:proofErr w:type="spellStart"/>
      <w:r w:rsidR="00155A54" w:rsidRPr="008233EA">
        <w:rPr>
          <w:rStyle w:val="jsgrdq"/>
          <w:rFonts w:ascii="Verdana" w:hAnsi="Verdana"/>
          <w:color w:val="7F7F7F" w:themeColor="text1" w:themeTint="80"/>
          <w:sz w:val="16"/>
          <w:szCs w:val="16"/>
        </w:rPr>
        <w:t>cerfa</w:t>
      </w:r>
      <w:proofErr w:type="spellEnd"/>
      <w:r w:rsidR="00155A54" w:rsidRPr="008233EA">
        <w:rPr>
          <w:rStyle w:val="jsgrdq"/>
          <w:rFonts w:ascii="Verdana" w:hAnsi="Verdana"/>
          <w:color w:val="7F7F7F" w:themeColor="text1" w:themeTint="80"/>
          <w:sz w:val="16"/>
          <w:szCs w:val="16"/>
        </w:rPr>
        <w:t xml:space="preserve"> pour la prise en</w:t>
      </w:r>
      <w:r w:rsidR="00007E80" w:rsidRPr="008233EA">
        <w:rPr>
          <w:rStyle w:val="jsgrdq"/>
          <w:rFonts w:ascii="Verdana" w:hAnsi="Verdana"/>
          <w:color w:val="7F7F7F" w:themeColor="text1" w:themeTint="80"/>
          <w:sz w:val="16"/>
          <w:szCs w:val="16"/>
        </w:rPr>
        <w:t xml:space="preserve"> </w:t>
      </w:r>
      <w:r w:rsidR="00155A54" w:rsidRPr="008233EA">
        <w:rPr>
          <w:rStyle w:val="jsgrdq"/>
          <w:rFonts w:ascii="Verdana" w:hAnsi="Verdana"/>
          <w:color w:val="7F7F7F" w:themeColor="text1" w:themeTint="80"/>
          <w:sz w:val="16"/>
          <w:szCs w:val="16"/>
        </w:rPr>
        <w:t xml:space="preserve">charge, suivi et envoi), car ce sont des déchets à risques </w:t>
      </w:r>
      <w:proofErr w:type="spellStart"/>
      <w:r w:rsidR="00155A54" w:rsidRPr="008233EA">
        <w:rPr>
          <w:rStyle w:val="jsgrdq"/>
          <w:rFonts w:ascii="Verdana" w:hAnsi="Verdana"/>
          <w:color w:val="7F7F7F" w:themeColor="text1" w:themeTint="80"/>
          <w:sz w:val="16"/>
          <w:szCs w:val="16"/>
        </w:rPr>
        <w:t>chimico</w:t>
      </w:r>
      <w:proofErr w:type="spellEnd"/>
      <w:r w:rsidR="00155A54" w:rsidRPr="008233EA">
        <w:rPr>
          <w:rStyle w:val="jsgrdq"/>
          <w:rFonts w:ascii="Verdana" w:hAnsi="Verdana"/>
          <w:color w:val="7F7F7F" w:themeColor="text1" w:themeTint="80"/>
          <w:sz w:val="16"/>
          <w:szCs w:val="16"/>
        </w:rPr>
        <w:t>-toxique, ce</w:t>
      </w:r>
      <w:r w:rsidR="00007E80" w:rsidRPr="008233EA">
        <w:rPr>
          <w:rStyle w:val="jsgrdq"/>
          <w:rFonts w:ascii="Verdana" w:hAnsi="Verdana"/>
          <w:color w:val="7F7F7F" w:themeColor="text1" w:themeTint="80"/>
          <w:sz w:val="16"/>
          <w:szCs w:val="16"/>
        </w:rPr>
        <w:t xml:space="preserve"> </w:t>
      </w:r>
      <w:r w:rsidR="00155A54" w:rsidRPr="008233EA">
        <w:rPr>
          <w:rStyle w:val="jsgrdq"/>
          <w:rFonts w:ascii="Verdana" w:hAnsi="Verdana"/>
          <w:color w:val="7F7F7F" w:themeColor="text1" w:themeTint="80"/>
          <w:sz w:val="16"/>
          <w:szCs w:val="16"/>
        </w:rPr>
        <w:t>risque prévalant sur le risque infectieux.</w:t>
      </w:r>
    </w:p>
    <w:p w14:paraId="2AF04360" w14:textId="22578E9E" w:rsidR="004A3348" w:rsidRPr="008233EA" w:rsidRDefault="00471856" w:rsidP="00155A54">
      <w:pPr>
        <w:pStyle w:val="Standard"/>
        <w:spacing w:after="0"/>
        <w:rPr>
          <w:rFonts w:ascii="Verdana" w:hAnsi="Verdana"/>
          <w:b/>
          <w:bCs/>
          <w:color w:val="7F7F7F" w:themeColor="text1" w:themeTint="80"/>
          <w:sz w:val="16"/>
          <w:szCs w:val="16"/>
        </w:rPr>
      </w:pPr>
      <w:r w:rsidRPr="008233EA">
        <w:rPr>
          <w:rFonts w:ascii="Verdana" w:hAnsi="Verdana"/>
          <w:noProof/>
        </w:rPr>
        <w:lastRenderedPageBreak/>
        <w:drawing>
          <wp:anchor distT="0" distB="0" distL="114300" distR="114300" simplePos="0" relativeHeight="251661312" behindDoc="1" locked="0" layoutInCell="1" allowOverlap="1" wp14:anchorId="62FD6145" wp14:editId="1A10E1CE">
            <wp:simplePos x="0" y="0"/>
            <wp:positionH relativeFrom="column">
              <wp:posOffset>-52070</wp:posOffset>
            </wp:positionH>
            <wp:positionV relativeFrom="paragraph">
              <wp:posOffset>161290</wp:posOffset>
            </wp:positionV>
            <wp:extent cx="599440" cy="501650"/>
            <wp:effectExtent l="0" t="0" r="0" b="0"/>
            <wp:wrapTight wrapText="bothSides">
              <wp:wrapPolygon edited="0">
                <wp:start x="0" y="0"/>
                <wp:lineTo x="0" y="20506"/>
                <wp:lineTo x="20593" y="20506"/>
                <wp:lineTo x="20593"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9440" cy="501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noProof/>
        </w:rPr>
        <w:t xml:space="preserve"> </w:t>
      </w:r>
    </w:p>
    <w:p w14:paraId="6ECFCAAA" w14:textId="18878180" w:rsidR="004A3348" w:rsidRPr="008233EA" w:rsidRDefault="004A3348" w:rsidP="00155A54">
      <w:pPr>
        <w:pStyle w:val="Standard"/>
        <w:spacing w:after="0"/>
        <w:rPr>
          <w:rFonts w:ascii="Verdana" w:hAnsi="Verdana"/>
          <w:b/>
          <w:bCs/>
          <w:sz w:val="20"/>
          <w:szCs w:val="20"/>
        </w:rPr>
      </w:pPr>
    </w:p>
    <w:p w14:paraId="2B147937" w14:textId="47B42E91" w:rsidR="00850429" w:rsidRPr="00471856" w:rsidRDefault="00471856" w:rsidP="00155A54">
      <w:pPr>
        <w:pStyle w:val="Standard"/>
        <w:spacing w:after="0"/>
        <w:rPr>
          <w:rStyle w:val="jsgrdq"/>
          <w:rFonts w:ascii="Verdana" w:hAnsi="Verdana"/>
          <w:b/>
          <w:bCs/>
          <w:i/>
          <w:iCs/>
          <w:color w:val="279097"/>
          <w:sz w:val="20"/>
          <w:szCs w:val="20"/>
        </w:rPr>
      </w:pPr>
      <w:r>
        <w:rPr>
          <w:rStyle w:val="jsgrdq"/>
          <w:rFonts w:ascii="Verdana" w:hAnsi="Verdana"/>
          <w:b/>
          <w:bCs/>
          <w:color w:val="279097"/>
          <w:sz w:val="20"/>
          <w:szCs w:val="20"/>
        </w:rPr>
        <w:t xml:space="preserve">   </w:t>
      </w:r>
      <w:r w:rsidRPr="00471856">
        <w:rPr>
          <w:rStyle w:val="jsgrdq"/>
          <w:rFonts w:ascii="Verdana" w:hAnsi="Verdana"/>
          <w:b/>
          <w:bCs/>
          <w:i/>
          <w:iCs/>
          <w:color w:val="279097"/>
          <w:sz w:val="20"/>
          <w:szCs w:val="20"/>
        </w:rPr>
        <w:t xml:space="preserve"> </w:t>
      </w:r>
      <w:r w:rsidR="00085A92" w:rsidRPr="00471856">
        <w:rPr>
          <w:rStyle w:val="jsgrdq"/>
          <w:rFonts w:ascii="Verdana" w:hAnsi="Verdana"/>
          <w:b/>
          <w:bCs/>
          <w:i/>
          <w:iCs/>
          <w:color w:val="279097"/>
          <w:sz w:val="20"/>
          <w:szCs w:val="20"/>
        </w:rPr>
        <w:t xml:space="preserve">Les plastiques « recyclables » et les plastiques « recyclés » </w:t>
      </w:r>
    </w:p>
    <w:p w14:paraId="1E9DEAE4" w14:textId="4D205C18" w:rsidR="00002703" w:rsidRPr="008233EA" w:rsidRDefault="00002703" w:rsidP="00155A54">
      <w:pPr>
        <w:pStyle w:val="Standard"/>
        <w:spacing w:after="0"/>
        <w:rPr>
          <w:rStyle w:val="jsgrdq"/>
          <w:rFonts w:ascii="Verdana" w:hAnsi="Verdana"/>
          <w:b/>
          <w:bCs/>
          <w:color w:val="279097"/>
          <w:sz w:val="20"/>
          <w:szCs w:val="20"/>
        </w:rPr>
      </w:pPr>
    </w:p>
    <w:p w14:paraId="02BEE129" w14:textId="7F244E6C" w:rsidR="00CF169E" w:rsidRPr="008233EA" w:rsidRDefault="00085A92" w:rsidP="00CF169E">
      <w:pPr>
        <w:pStyle w:val="Standard"/>
        <w:spacing w:after="0"/>
        <w:rPr>
          <w:rFonts w:ascii="Verdana" w:hAnsi="Verdana"/>
          <w:color w:val="767171" w:themeColor="background2" w:themeShade="80"/>
          <w:sz w:val="16"/>
          <w:szCs w:val="16"/>
        </w:rPr>
      </w:pPr>
      <w:r w:rsidRPr="008233EA">
        <w:rPr>
          <w:rFonts w:ascii="Verdana" w:hAnsi="Verdana"/>
          <w:color w:val="767171" w:themeColor="background2" w:themeShade="80"/>
          <w:sz w:val="16"/>
          <w:szCs w:val="16"/>
        </w:rPr>
        <w:t>Au cabinet dentaire, la consommation des produits plastiques est représentée majoritairement par les dispositifs médicaux ou consommables à usage unique.</w:t>
      </w:r>
      <w:r w:rsidR="00CF169E" w:rsidRPr="008233EA">
        <w:rPr>
          <w:rFonts w:ascii="Verdana" w:hAnsi="Verdana"/>
          <w:color w:val="767171" w:themeColor="background2" w:themeShade="80"/>
          <w:sz w:val="16"/>
          <w:szCs w:val="16"/>
        </w:rPr>
        <w:t xml:space="preserve"> Repérer ce logo ne certifie pas que le bien est recyclable et qu’il sera recyclé. Les filières de recyclage n’existent pas pour tous les types de plastique.</w:t>
      </w:r>
    </w:p>
    <w:p w14:paraId="6FD0A1BB" w14:textId="77777777" w:rsidR="00CF169E" w:rsidRPr="008233EA" w:rsidRDefault="00CF169E" w:rsidP="00CF169E">
      <w:pPr>
        <w:pStyle w:val="Standard"/>
        <w:spacing w:after="0"/>
        <w:rPr>
          <w:rFonts w:ascii="Verdana" w:hAnsi="Verdana"/>
          <w:color w:val="767171" w:themeColor="background2" w:themeShade="80"/>
          <w:sz w:val="16"/>
          <w:szCs w:val="16"/>
        </w:rPr>
      </w:pPr>
    </w:p>
    <w:p w14:paraId="2FA74E7C" w14:textId="77777777" w:rsidR="00CF169E" w:rsidRPr="008233EA" w:rsidRDefault="00CF169E" w:rsidP="00155A54">
      <w:pPr>
        <w:pStyle w:val="Standard"/>
        <w:spacing w:after="0"/>
        <w:rPr>
          <w:rFonts w:ascii="Verdana" w:hAnsi="Verdana"/>
        </w:rPr>
      </w:pPr>
    </w:p>
    <w:p w14:paraId="678E54FD" w14:textId="4212B4E5" w:rsidR="00850429" w:rsidRPr="008233EA" w:rsidRDefault="00CF169E" w:rsidP="00155A54">
      <w:pPr>
        <w:pStyle w:val="Standard"/>
        <w:spacing w:after="0"/>
        <w:rPr>
          <w:rFonts w:ascii="Verdana" w:hAnsi="Verdana"/>
          <w:color w:val="767171" w:themeColor="background2" w:themeShade="80"/>
          <w:sz w:val="16"/>
          <w:szCs w:val="16"/>
        </w:rPr>
      </w:pPr>
      <w:r w:rsidRPr="008233EA">
        <w:rPr>
          <w:rFonts w:ascii="Verdana" w:hAnsi="Verdana"/>
          <w:noProof/>
          <w:color w:val="767171" w:themeColor="background2" w:themeShade="80"/>
          <w:sz w:val="16"/>
          <w:szCs w:val="16"/>
        </w:rPr>
        <w:drawing>
          <wp:anchor distT="0" distB="0" distL="114300" distR="114300" simplePos="0" relativeHeight="251662336" behindDoc="1" locked="0" layoutInCell="1" allowOverlap="1" wp14:anchorId="3D3AB5E6" wp14:editId="640C1371">
            <wp:simplePos x="0" y="0"/>
            <wp:positionH relativeFrom="column">
              <wp:posOffset>0</wp:posOffset>
            </wp:positionH>
            <wp:positionV relativeFrom="paragraph">
              <wp:posOffset>-1460</wp:posOffset>
            </wp:positionV>
            <wp:extent cx="974986" cy="402071"/>
            <wp:effectExtent l="0" t="0" r="0" b="0"/>
            <wp:wrapTight wrapText="bothSides">
              <wp:wrapPolygon edited="0">
                <wp:start x="0" y="0"/>
                <wp:lineTo x="0" y="20474"/>
                <wp:lineTo x="21107" y="20474"/>
                <wp:lineTo x="21107"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4986" cy="402071"/>
                    </a:xfrm>
                    <a:prstGeom prst="rect">
                      <a:avLst/>
                    </a:prstGeom>
                    <a:noFill/>
                    <a:ln>
                      <a:noFill/>
                    </a:ln>
                  </pic:spPr>
                </pic:pic>
              </a:graphicData>
            </a:graphic>
          </wp:anchor>
        </w:drawing>
      </w:r>
      <w:r w:rsidR="00085A92" w:rsidRPr="008233EA">
        <w:rPr>
          <w:rFonts w:ascii="Verdana" w:hAnsi="Verdana"/>
          <w:color w:val="767171" w:themeColor="background2" w:themeShade="80"/>
          <w:sz w:val="16"/>
          <w:szCs w:val="16"/>
        </w:rPr>
        <w:t xml:space="preserve">Il existe plusieurs types de plastique répartis en 7 catégories. Pour savoir de quelle matière est composé un bien, il faut repérer sur l’emballage ou le produit lui-même les chiffres 1 à 7 qui se situent à l’intérieur de l’anneau de Möbius). </w:t>
      </w:r>
    </w:p>
    <w:p w14:paraId="7B0A693A" w14:textId="6349A0F9" w:rsidR="00CF169E" w:rsidRDefault="00A1461B" w:rsidP="00155A54">
      <w:pPr>
        <w:pStyle w:val="Standard"/>
        <w:spacing w:after="0"/>
        <w:rPr>
          <w:rStyle w:val="jsgrdq"/>
          <w:rFonts w:ascii="Verdana" w:hAnsi="Verdana"/>
          <w:b/>
          <w:bCs/>
          <w:i/>
          <w:iCs/>
          <w:color w:val="279097"/>
          <w:sz w:val="20"/>
          <w:szCs w:val="20"/>
        </w:rPr>
      </w:pPr>
      <w:r>
        <w:rPr>
          <w:rStyle w:val="jsgrdq"/>
          <w:rFonts w:ascii="Verdana" w:hAnsi="Verdana"/>
          <w:b/>
          <w:bCs/>
          <w:i/>
          <w:iCs/>
          <w:noProof/>
          <w:color w:val="279097"/>
          <w:sz w:val="20"/>
          <w:szCs w:val="20"/>
        </w:rPr>
        <w:drawing>
          <wp:anchor distT="0" distB="0" distL="114300" distR="114300" simplePos="0" relativeHeight="251668480" behindDoc="1" locked="0" layoutInCell="1" allowOverlap="1" wp14:anchorId="09BE905D" wp14:editId="71BC6DDA">
            <wp:simplePos x="0" y="0"/>
            <wp:positionH relativeFrom="column">
              <wp:posOffset>-4445</wp:posOffset>
            </wp:positionH>
            <wp:positionV relativeFrom="paragraph">
              <wp:posOffset>17780</wp:posOffset>
            </wp:positionV>
            <wp:extent cx="400050" cy="400050"/>
            <wp:effectExtent l="0" t="0" r="0" b="0"/>
            <wp:wrapTight wrapText="bothSides">
              <wp:wrapPolygon edited="0">
                <wp:start x="0" y="0"/>
                <wp:lineTo x="0" y="20571"/>
                <wp:lineTo x="20571" y="20571"/>
                <wp:lineTo x="20571"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4000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1856">
        <w:rPr>
          <w:rStyle w:val="jsgrdq"/>
          <w:rFonts w:ascii="Verdana" w:hAnsi="Verdana"/>
          <w:b/>
          <w:bCs/>
          <w:i/>
          <w:iCs/>
          <w:color w:val="279097"/>
          <w:sz w:val="20"/>
          <w:szCs w:val="20"/>
        </w:rPr>
        <w:t xml:space="preserve">   </w:t>
      </w:r>
      <w:r w:rsidR="00085A92" w:rsidRPr="002E4D2D">
        <w:rPr>
          <w:rStyle w:val="jsgrdq"/>
          <w:rFonts w:ascii="Verdana" w:hAnsi="Verdana"/>
          <w:b/>
          <w:bCs/>
          <w:i/>
          <w:iCs/>
          <w:color w:val="279097"/>
          <w:sz w:val="20"/>
          <w:szCs w:val="20"/>
        </w:rPr>
        <w:t>Les perturbateurs endocriniens</w:t>
      </w:r>
    </w:p>
    <w:p w14:paraId="15C9A738" w14:textId="473C207A" w:rsidR="00627E61" w:rsidRPr="002E4D2D" w:rsidRDefault="00627E61" w:rsidP="00155A54">
      <w:pPr>
        <w:pStyle w:val="Standard"/>
        <w:spacing w:after="0"/>
        <w:rPr>
          <w:rStyle w:val="jsgrdq"/>
          <w:rFonts w:ascii="Verdana" w:hAnsi="Verdana"/>
          <w:b/>
          <w:bCs/>
          <w:i/>
          <w:iCs/>
          <w:color w:val="279097"/>
          <w:sz w:val="20"/>
          <w:szCs w:val="20"/>
        </w:rPr>
      </w:pPr>
    </w:p>
    <w:p w14:paraId="1A484C4F" w14:textId="042C2AD0" w:rsidR="00627E61" w:rsidRPr="008233EA" w:rsidRDefault="00A1461B" w:rsidP="00627E61">
      <w:pPr>
        <w:pStyle w:val="Standard"/>
        <w:spacing w:after="0"/>
        <w:jc w:val="both"/>
        <w:rPr>
          <w:rFonts w:ascii="Verdana" w:hAnsi="Verdana"/>
          <w:color w:val="767171" w:themeColor="background2" w:themeShade="80"/>
          <w:sz w:val="16"/>
          <w:szCs w:val="16"/>
        </w:rPr>
      </w:pPr>
      <w:r>
        <w:rPr>
          <w:rStyle w:val="jsgrdq"/>
          <w:rFonts w:ascii="Verdana" w:hAnsi="Verdana"/>
          <w:b/>
          <w:bCs/>
          <w:i/>
          <w:iCs/>
          <w:noProof/>
          <w:color w:val="279097"/>
          <w:sz w:val="20"/>
          <w:szCs w:val="20"/>
        </w:rPr>
        <w:drawing>
          <wp:anchor distT="0" distB="0" distL="114300" distR="114300" simplePos="0" relativeHeight="251669504" behindDoc="1" locked="0" layoutInCell="1" allowOverlap="1" wp14:anchorId="04F5D110" wp14:editId="35C9CED7">
            <wp:simplePos x="0" y="0"/>
            <wp:positionH relativeFrom="column">
              <wp:posOffset>-109855</wp:posOffset>
            </wp:positionH>
            <wp:positionV relativeFrom="paragraph">
              <wp:posOffset>209550</wp:posOffset>
            </wp:positionV>
            <wp:extent cx="638175" cy="461645"/>
            <wp:effectExtent l="0" t="0" r="9525" b="0"/>
            <wp:wrapTight wrapText="bothSides">
              <wp:wrapPolygon edited="0">
                <wp:start x="0" y="0"/>
                <wp:lineTo x="0" y="20501"/>
                <wp:lineTo x="21278" y="20501"/>
                <wp:lineTo x="21278"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638175" cy="461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color w:val="767171" w:themeColor="background2" w:themeShade="80"/>
          <w:sz w:val="16"/>
          <w:szCs w:val="16"/>
        </w:rPr>
        <w:t xml:space="preserve">    </w:t>
      </w:r>
      <w:r w:rsidR="00085A92" w:rsidRPr="008233EA">
        <w:rPr>
          <w:rFonts w:ascii="Verdana" w:hAnsi="Verdana"/>
          <w:color w:val="767171" w:themeColor="background2" w:themeShade="80"/>
          <w:sz w:val="16"/>
          <w:szCs w:val="16"/>
        </w:rPr>
        <w:t>La présence des perturbateurs endocriniens dans l’ensemble des milieux (air, eau, sol) et leurs propriétés toxicologiques particulières en font une réelle menace de santé publique et de santé de l’environnement et participent à l’érosion de la biodiversité</w:t>
      </w:r>
      <w:r w:rsidR="00627E61">
        <w:rPr>
          <w:rFonts w:ascii="Verdana" w:hAnsi="Verdana"/>
          <w:color w:val="767171" w:themeColor="background2" w:themeShade="80"/>
          <w:sz w:val="16"/>
          <w:szCs w:val="16"/>
        </w:rPr>
        <w:t>.</w:t>
      </w:r>
    </w:p>
    <w:p w14:paraId="7345C457" w14:textId="7AB89AB4" w:rsidR="00CF169E" w:rsidRDefault="00085A92" w:rsidP="00A1461B">
      <w:pPr>
        <w:pStyle w:val="Standard"/>
        <w:spacing w:after="0"/>
        <w:ind w:left="993"/>
        <w:jc w:val="both"/>
        <w:rPr>
          <w:rFonts w:ascii="Verdana" w:hAnsi="Verdana"/>
          <w:color w:val="767171" w:themeColor="background2" w:themeShade="80"/>
          <w:sz w:val="16"/>
          <w:szCs w:val="16"/>
        </w:rPr>
      </w:pPr>
      <w:r w:rsidRPr="008233EA">
        <w:rPr>
          <w:rFonts w:ascii="Verdana" w:hAnsi="Verdana"/>
          <w:color w:val="767171" w:themeColor="background2" w:themeShade="80"/>
          <w:sz w:val="16"/>
          <w:szCs w:val="16"/>
        </w:rPr>
        <w:t xml:space="preserve">Chaque substance peut en potentialiser une autre - effet cocktail - et leurs effets peuvent avoir des répercussions plusieurs années après chez l’organisme exposé voire sur les générations suivantes - </w:t>
      </w:r>
      <w:r w:rsidR="00A1461B">
        <w:rPr>
          <w:rFonts w:ascii="Verdana" w:hAnsi="Verdana"/>
          <w:color w:val="767171" w:themeColor="background2" w:themeShade="80"/>
          <w:sz w:val="16"/>
          <w:szCs w:val="16"/>
        </w:rPr>
        <w:t xml:space="preserve">        </w:t>
      </w:r>
      <w:r w:rsidRPr="008233EA">
        <w:rPr>
          <w:rFonts w:ascii="Verdana" w:hAnsi="Verdana"/>
          <w:color w:val="767171" w:themeColor="background2" w:themeShade="80"/>
          <w:sz w:val="16"/>
          <w:szCs w:val="16"/>
        </w:rPr>
        <w:t>effet transgénérationnel</w:t>
      </w:r>
      <w:r w:rsidR="009B0DDE">
        <w:rPr>
          <w:rFonts w:ascii="Verdana" w:hAnsi="Verdana"/>
          <w:color w:val="767171" w:themeColor="background2" w:themeShade="80"/>
          <w:sz w:val="16"/>
          <w:szCs w:val="16"/>
        </w:rPr>
        <w:t>.</w:t>
      </w:r>
    </w:p>
    <w:p w14:paraId="513A1D68" w14:textId="77777777" w:rsidR="009B0DDE" w:rsidRPr="008233EA" w:rsidRDefault="009B0DDE" w:rsidP="009B0DDE">
      <w:pPr>
        <w:pStyle w:val="Standard"/>
        <w:spacing w:after="0"/>
        <w:jc w:val="both"/>
        <w:rPr>
          <w:rFonts w:ascii="Verdana" w:hAnsi="Verdana"/>
          <w:color w:val="767171" w:themeColor="background2" w:themeShade="80"/>
          <w:sz w:val="16"/>
          <w:szCs w:val="16"/>
        </w:rPr>
      </w:pPr>
    </w:p>
    <w:p w14:paraId="0CD46998" w14:textId="77777777" w:rsidR="00CF169E" w:rsidRPr="008233EA" w:rsidRDefault="00085A92" w:rsidP="009B0DDE">
      <w:pPr>
        <w:pStyle w:val="Standard"/>
        <w:spacing w:after="0"/>
        <w:jc w:val="both"/>
        <w:rPr>
          <w:rFonts w:ascii="Verdana" w:hAnsi="Verdana"/>
          <w:color w:val="767171" w:themeColor="background2" w:themeShade="80"/>
          <w:sz w:val="16"/>
          <w:szCs w:val="16"/>
        </w:rPr>
      </w:pPr>
      <w:r w:rsidRPr="008233EA">
        <w:rPr>
          <w:rFonts w:ascii="Verdana" w:hAnsi="Verdana"/>
          <w:color w:val="767171" w:themeColor="background2" w:themeShade="80"/>
          <w:sz w:val="16"/>
          <w:szCs w:val="16"/>
        </w:rPr>
        <w:t>Ces perturbateurs hormonaux se retrouvent dans de nombreux objets et produits de la vie courante. Ainsi, le risque d’exposition est ubiquitaire et quotidien y compris au sein des cabinets dentaires.</w:t>
      </w:r>
    </w:p>
    <w:p w14:paraId="1C6C7915" w14:textId="77777777" w:rsidR="00CF169E" w:rsidRPr="008233EA" w:rsidRDefault="00085A92" w:rsidP="009B0DDE">
      <w:pPr>
        <w:pStyle w:val="Standard"/>
        <w:spacing w:after="0"/>
        <w:jc w:val="both"/>
        <w:rPr>
          <w:rFonts w:ascii="Verdana" w:hAnsi="Verdana"/>
          <w:color w:val="767171" w:themeColor="background2" w:themeShade="80"/>
          <w:sz w:val="16"/>
          <w:szCs w:val="16"/>
        </w:rPr>
      </w:pPr>
      <w:r w:rsidRPr="008233EA">
        <w:rPr>
          <w:rFonts w:ascii="Verdana" w:hAnsi="Verdana"/>
          <w:color w:val="767171" w:themeColor="background2" w:themeShade="80"/>
          <w:sz w:val="16"/>
          <w:szCs w:val="16"/>
        </w:rPr>
        <w:t>Ils sont susceptibles d’y être présents, rentrant dans la composition de certains produits de santé, revêtements, textiles ou encore de certains produits d’entretien et de désinfection.</w:t>
      </w:r>
    </w:p>
    <w:p w14:paraId="645A2E4D" w14:textId="61A17AF1" w:rsidR="00CF169E" w:rsidRDefault="00085A92" w:rsidP="006206F4">
      <w:pPr>
        <w:pStyle w:val="Standard"/>
        <w:spacing w:after="0"/>
        <w:jc w:val="both"/>
        <w:rPr>
          <w:rFonts w:ascii="Verdana" w:hAnsi="Verdana"/>
          <w:color w:val="767171" w:themeColor="background2" w:themeShade="80"/>
          <w:sz w:val="16"/>
          <w:szCs w:val="16"/>
        </w:rPr>
      </w:pPr>
      <w:r w:rsidRPr="008233EA">
        <w:rPr>
          <w:rFonts w:ascii="Verdana" w:hAnsi="Verdana"/>
          <w:color w:val="767171" w:themeColor="background2" w:themeShade="80"/>
          <w:sz w:val="16"/>
          <w:szCs w:val="16"/>
        </w:rPr>
        <w:t>Le chirurgien-dentiste et l’assistant</w:t>
      </w:r>
      <w:r w:rsidR="009B0DDE">
        <w:rPr>
          <w:rFonts w:ascii="Verdana" w:hAnsi="Verdana"/>
          <w:color w:val="767171" w:themeColor="background2" w:themeShade="80"/>
          <w:sz w:val="16"/>
          <w:szCs w:val="16"/>
        </w:rPr>
        <w:t>(e)</w:t>
      </w:r>
      <w:r w:rsidRPr="008233EA">
        <w:rPr>
          <w:rFonts w:ascii="Verdana" w:hAnsi="Verdana"/>
          <w:color w:val="767171" w:themeColor="background2" w:themeShade="80"/>
          <w:sz w:val="16"/>
          <w:szCs w:val="16"/>
        </w:rPr>
        <w:t xml:space="preserve"> dentaire sont considérés comme exerçant des professions à risque d’exposition</w:t>
      </w:r>
      <w:r w:rsidR="006206F4">
        <w:rPr>
          <w:rFonts w:ascii="Verdana" w:hAnsi="Verdana"/>
          <w:color w:val="767171" w:themeColor="background2" w:themeShade="80"/>
          <w:sz w:val="16"/>
          <w:szCs w:val="16"/>
        </w:rPr>
        <w:t>.</w:t>
      </w:r>
    </w:p>
    <w:p w14:paraId="265EA802" w14:textId="77777777" w:rsidR="006206F4" w:rsidRPr="008233EA" w:rsidRDefault="006206F4" w:rsidP="00155A54">
      <w:pPr>
        <w:pStyle w:val="Standard"/>
        <w:spacing w:after="0"/>
        <w:rPr>
          <w:rFonts w:ascii="Verdana" w:hAnsi="Verdana"/>
          <w:color w:val="767171" w:themeColor="background2" w:themeShade="80"/>
          <w:sz w:val="16"/>
          <w:szCs w:val="16"/>
        </w:rPr>
      </w:pPr>
    </w:p>
    <w:p w14:paraId="03F3B3DC" w14:textId="4AD5DBA4" w:rsidR="00085A92" w:rsidRDefault="00085A92" w:rsidP="0076223A">
      <w:pPr>
        <w:pStyle w:val="Standard"/>
        <w:spacing w:after="0"/>
        <w:jc w:val="both"/>
        <w:rPr>
          <w:rFonts w:ascii="Verdana" w:hAnsi="Verdana"/>
          <w:color w:val="767171" w:themeColor="background2" w:themeShade="80"/>
          <w:sz w:val="16"/>
          <w:szCs w:val="16"/>
        </w:rPr>
      </w:pPr>
      <w:r w:rsidRPr="008233EA">
        <w:rPr>
          <w:rFonts w:ascii="Verdana" w:hAnsi="Verdana"/>
          <w:color w:val="767171" w:themeColor="background2" w:themeShade="80"/>
          <w:sz w:val="16"/>
          <w:szCs w:val="16"/>
        </w:rPr>
        <w:t xml:space="preserve">Parmi les produits de santé, plusieurs études ont permis d’observer le risque d’exposition au bisphénol A (BPA) </w:t>
      </w:r>
      <w:r w:rsidR="00A1461B" w:rsidRPr="008233EA">
        <w:rPr>
          <w:rFonts w:ascii="Verdana" w:hAnsi="Verdana"/>
          <w:color w:val="767171" w:themeColor="background2" w:themeShade="80"/>
          <w:sz w:val="16"/>
          <w:szCs w:val="16"/>
        </w:rPr>
        <w:t>à la suite de</w:t>
      </w:r>
      <w:r w:rsidRPr="008233EA">
        <w:rPr>
          <w:rFonts w:ascii="Verdana" w:hAnsi="Verdana"/>
          <w:color w:val="767171" w:themeColor="background2" w:themeShade="80"/>
          <w:sz w:val="16"/>
          <w:szCs w:val="16"/>
        </w:rPr>
        <w:t xml:space="preserve"> la pose de biomatériaux utilisés en dentisterie adhésive. À ce jour, il n’existe pas de preuves scientifiques que ces dérivés entraînent un effet néfaste sur l’organisme, même si des études récentes renforcent ces inquiétudes et pourrait laisser croire que les concentrations internes de BPA d’origine dentaire auraient été sous-estimées</w:t>
      </w:r>
      <w:r w:rsidR="0076223A">
        <w:rPr>
          <w:rFonts w:ascii="Verdana" w:hAnsi="Verdana"/>
          <w:color w:val="767171" w:themeColor="background2" w:themeShade="80"/>
          <w:sz w:val="16"/>
          <w:szCs w:val="16"/>
        </w:rPr>
        <w:t xml:space="preserve">. </w:t>
      </w:r>
      <w:r w:rsidRPr="008233EA">
        <w:rPr>
          <w:rFonts w:ascii="Verdana" w:hAnsi="Verdana"/>
          <w:color w:val="767171" w:themeColor="background2" w:themeShade="80"/>
          <w:sz w:val="16"/>
          <w:szCs w:val="16"/>
        </w:rPr>
        <w:t>La manipulation et le rejet dans l’environnement de ces biomatériaux non polymérisés doivent être évités au maximum. Tous les biomatériaux ne contiennent pas ces dérivés</w:t>
      </w:r>
      <w:r w:rsidR="00CF169E" w:rsidRPr="008233EA">
        <w:rPr>
          <w:rFonts w:ascii="Verdana" w:hAnsi="Verdana"/>
          <w:color w:val="767171" w:themeColor="background2" w:themeShade="80"/>
          <w:sz w:val="16"/>
          <w:szCs w:val="16"/>
        </w:rPr>
        <w:t>.</w:t>
      </w:r>
    </w:p>
    <w:p w14:paraId="261468A4" w14:textId="77777777" w:rsidR="00A1461B" w:rsidRPr="008233EA" w:rsidRDefault="00A1461B" w:rsidP="0076223A">
      <w:pPr>
        <w:pStyle w:val="Standard"/>
        <w:spacing w:after="0"/>
        <w:jc w:val="both"/>
        <w:rPr>
          <w:rFonts w:ascii="Verdana" w:hAnsi="Verdana"/>
          <w:color w:val="767171" w:themeColor="background2" w:themeShade="80"/>
          <w:sz w:val="16"/>
          <w:szCs w:val="16"/>
        </w:rPr>
      </w:pPr>
    </w:p>
    <w:p w14:paraId="620EE5E0" w14:textId="2E0BC67E" w:rsidR="00085A92" w:rsidRPr="008233EA" w:rsidRDefault="00A1461B" w:rsidP="00155A54">
      <w:pPr>
        <w:pStyle w:val="Standard"/>
        <w:spacing w:after="0"/>
        <w:rPr>
          <w:rStyle w:val="jsgrdq"/>
          <w:rFonts w:ascii="Verdana" w:hAnsi="Verdana"/>
          <w:b/>
          <w:bCs/>
          <w:color w:val="7F7F7F" w:themeColor="text1" w:themeTint="80"/>
          <w:sz w:val="20"/>
          <w:szCs w:val="20"/>
        </w:rPr>
      </w:pPr>
      <w:r>
        <w:rPr>
          <w:noProof/>
        </w:rPr>
        <w:drawing>
          <wp:anchor distT="0" distB="0" distL="114300" distR="114300" simplePos="0" relativeHeight="251670528" behindDoc="1" locked="0" layoutInCell="1" allowOverlap="1" wp14:anchorId="37C275C3" wp14:editId="40C3E234">
            <wp:simplePos x="0" y="0"/>
            <wp:positionH relativeFrom="column">
              <wp:posOffset>-61595</wp:posOffset>
            </wp:positionH>
            <wp:positionV relativeFrom="paragraph">
              <wp:posOffset>69215</wp:posOffset>
            </wp:positionV>
            <wp:extent cx="847725" cy="398017"/>
            <wp:effectExtent l="0" t="0" r="0" b="2540"/>
            <wp:wrapTight wrapText="bothSides">
              <wp:wrapPolygon edited="0">
                <wp:start x="0" y="0"/>
                <wp:lineTo x="0" y="20703"/>
                <wp:lineTo x="20872" y="20703"/>
                <wp:lineTo x="20872" y="0"/>
                <wp:lineTo x="0" y="0"/>
              </wp:wrapPolygon>
            </wp:wrapTight>
            <wp:docPr id="12" name="Image 12" descr="Unité de valeur de formation RCH 4 Conseiller technique risques chimiques.  Les nanomatériaux : - PDF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té de valeur de formation RCH 4 Conseiller technique risques chimiques.  Les nanomatériaux : - PDF Free Downloa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47725" cy="398017"/>
                    </a:xfrm>
                    <a:prstGeom prst="rect">
                      <a:avLst/>
                    </a:prstGeom>
                    <a:noFill/>
                    <a:ln>
                      <a:noFill/>
                    </a:ln>
                  </pic:spPr>
                </pic:pic>
              </a:graphicData>
            </a:graphic>
          </wp:anchor>
        </w:drawing>
      </w:r>
    </w:p>
    <w:p w14:paraId="6CA59C94" w14:textId="58A787A6" w:rsidR="00CF169E" w:rsidRDefault="00085A92" w:rsidP="006E503E">
      <w:pPr>
        <w:pStyle w:val="Standard"/>
        <w:spacing w:after="0"/>
        <w:rPr>
          <w:rStyle w:val="jsgrdq"/>
          <w:i/>
          <w:iCs/>
          <w:color w:val="279097"/>
        </w:rPr>
      </w:pPr>
      <w:r w:rsidRPr="006E503E">
        <w:rPr>
          <w:rStyle w:val="jsgrdq"/>
          <w:rFonts w:ascii="Verdana" w:hAnsi="Verdana"/>
          <w:b/>
          <w:bCs/>
          <w:i/>
          <w:iCs/>
          <w:color w:val="279097"/>
          <w:sz w:val="20"/>
          <w:szCs w:val="20"/>
        </w:rPr>
        <w:t>Les nanomatériaux au cabinet dentaire</w:t>
      </w:r>
    </w:p>
    <w:p w14:paraId="1AD3E014" w14:textId="77777777" w:rsidR="006E503E" w:rsidRPr="006E503E" w:rsidRDefault="006E503E" w:rsidP="006E503E">
      <w:pPr>
        <w:pStyle w:val="Standard"/>
        <w:spacing w:after="0"/>
        <w:rPr>
          <w:rStyle w:val="jsgrdq"/>
          <w:i/>
          <w:iCs/>
          <w:color w:val="279097"/>
        </w:rPr>
      </w:pPr>
    </w:p>
    <w:p w14:paraId="4FFD7066" w14:textId="77777777" w:rsidR="00ED559F" w:rsidRPr="008233EA" w:rsidRDefault="00085A92" w:rsidP="006E503E">
      <w:pPr>
        <w:pStyle w:val="Standard"/>
        <w:spacing w:after="0"/>
        <w:jc w:val="both"/>
        <w:rPr>
          <w:rFonts w:ascii="Verdana" w:hAnsi="Verdana"/>
          <w:color w:val="7F7F7F" w:themeColor="text1" w:themeTint="80"/>
          <w:sz w:val="16"/>
          <w:szCs w:val="16"/>
        </w:rPr>
      </w:pPr>
      <w:r w:rsidRPr="008233EA">
        <w:rPr>
          <w:rFonts w:ascii="Verdana" w:hAnsi="Verdana"/>
          <w:color w:val="7F7F7F" w:themeColor="text1" w:themeTint="80"/>
          <w:sz w:val="16"/>
          <w:szCs w:val="16"/>
        </w:rPr>
        <w:t>L’exposition aux nanomatériaux représente également un risque émergent pour la santé du vivant.</w:t>
      </w:r>
    </w:p>
    <w:p w14:paraId="5E18B2F5" w14:textId="48CDDE95" w:rsidR="00007E80" w:rsidRPr="008233EA" w:rsidRDefault="00085A92" w:rsidP="006E503E">
      <w:pPr>
        <w:pStyle w:val="Standard"/>
        <w:spacing w:after="0"/>
        <w:jc w:val="both"/>
        <w:rPr>
          <w:rFonts w:ascii="Verdana" w:hAnsi="Verdana"/>
          <w:color w:val="7F7F7F" w:themeColor="text1" w:themeTint="80"/>
          <w:sz w:val="16"/>
          <w:szCs w:val="16"/>
        </w:rPr>
      </w:pPr>
      <w:r w:rsidRPr="008233EA">
        <w:rPr>
          <w:rFonts w:ascii="Verdana" w:hAnsi="Verdana"/>
          <w:color w:val="7F7F7F" w:themeColor="text1" w:themeTint="80"/>
          <w:sz w:val="16"/>
          <w:szCs w:val="16"/>
        </w:rPr>
        <w:t>Les nanomatériaux sont des matériaux de taille extrêmement petite (avec l’une des dimensions au moins inférieures à 100 nanomètres).</w:t>
      </w:r>
    </w:p>
    <w:p w14:paraId="27CD8473" w14:textId="74964A93" w:rsidR="00CF169E" w:rsidRPr="008233EA" w:rsidRDefault="00085A92" w:rsidP="006E503E">
      <w:pPr>
        <w:pStyle w:val="Standard"/>
        <w:spacing w:after="0"/>
        <w:jc w:val="both"/>
        <w:rPr>
          <w:rFonts w:ascii="Verdana" w:hAnsi="Verdana"/>
          <w:color w:val="7F7F7F" w:themeColor="text1" w:themeTint="80"/>
          <w:sz w:val="16"/>
          <w:szCs w:val="16"/>
        </w:rPr>
      </w:pPr>
      <w:r w:rsidRPr="008233EA">
        <w:rPr>
          <w:rFonts w:ascii="Verdana" w:hAnsi="Verdana"/>
          <w:color w:val="7F7F7F" w:themeColor="text1" w:themeTint="80"/>
          <w:sz w:val="16"/>
          <w:szCs w:val="16"/>
        </w:rPr>
        <w:t>Dans l’environnement, il a été observé que des nanomatériaux ou leurs résidus pénètrent et s’accumulent dans différentes espèces bactériennes, végétales et animales, terrestres et aquatiques.</w:t>
      </w:r>
    </w:p>
    <w:p w14:paraId="3EECCB77" w14:textId="4D4814B0" w:rsidR="00CF169E" w:rsidRPr="008233EA" w:rsidRDefault="00085A92" w:rsidP="006E503E">
      <w:pPr>
        <w:pStyle w:val="Standard"/>
        <w:spacing w:after="0"/>
        <w:jc w:val="both"/>
        <w:rPr>
          <w:rFonts w:ascii="Verdana" w:hAnsi="Verdana"/>
          <w:color w:val="7F7F7F" w:themeColor="text1" w:themeTint="80"/>
          <w:sz w:val="16"/>
          <w:szCs w:val="16"/>
        </w:rPr>
      </w:pPr>
      <w:r w:rsidRPr="008233EA">
        <w:rPr>
          <w:rFonts w:ascii="Verdana" w:hAnsi="Verdana"/>
          <w:color w:val="7F7F7F" w:themeColor="text1" w:themeTint="80"/>
          <w:sz w:val="16"/>
          <w:szCs w:val="16"/>
        </w:rPr>
        <w:t>De par leur taille, les nanomatériaux franchissent aisément les barrières biologiques de l’organisme et peuvent donc présenter un risque sanitaire</w:t>
      </w:r>
      <w:r w:rsidR="006E503E">
        <w:rPr>
          <w:rFonts w:ascii="Verdana" w:hAnsi="Verdana"/>
          <w:color w:val="7F7F7F" w:themeColor="text1" w:themeTint="80"/>
          <w:sz w:val="16"/>
          <w:szCs w:val="16"/>
        </w:rPr>
        <w:t>.</w:t>
      </w:r>
    </w:p>
    <w:p w14:paraId="1AC815BD" w14:textId="77777777" w:rsidR="00007E80" w:rsidRPr="008233EA" w:rsidRDefault="00085A92" w:rsidP="001B2C72">
      <w:pPr>
        <w:pStyle w:val="Standard"/>
        <w:spacing w:after="0"/>
        <w:jc w:val="both"/>
        <w:rPr>
          <w:rFonts w:ascii="Verdana" w:hAnsi="Verdana"/>
          <w:color w:val="7F7F7F" w:themeColor="text1" w:themeTint="80"/>
          <w:sz w:val="16"/>
          <w:szCs w:val="16"/>
        </w:rPr>
      </w:pPr>
      <w:r w:rsidRPr="008233EA">
        <w:rPr>
          <w:rFonts w:ascii="Verdana" w:hAnsi="Verdana"/>
          <w:color w:val="7F7F7F" w:themeColor="text1" w:themeTint="80"/>
          <w:sz w:val="16"/>
          <w:szCs w:val="16"/>
        </w:rPr>
        <w:t>Les risques induits par ces substances sur l’Homme et sur l’environnement restent majoritairement méconnus, mais sont suspectés de représenter un danger conséquent.</w:t>
      </w:r>
    </w:p>
    <w:p w14:paraId="120E3A9F" w14:textId="77777777" w:rsidR="00007E80" w:rsidRPr="008233EA" w:rsidRDefault="00007E80" w:rsidP="00CF169E">
      <w:pPr>
        <w:pStyle w:val="Standard"/>
        <w:spacing w:after="0"/>
        <w:rPr>
          <w:rFonts w:ascii="Verdana" w:hAnsi="Verdana"/>
          <w:b/>
          <w:bCs/>
          <w:color w:val="7F7F7F" w:themeColor="text1" w:themeTint="80"/>
          <w:sz w:val="16"/>
          <w:szCs w:val="16"/>
        </w:rPr>
      </w:pPr>
    </w:p>
    <w:p w14:paraId="79563600" w14:textId="7B62A2D8" w:rsidR="00007E80" w:rsidRDefault="00085A92" w:rsidP="001B2C72">
      <w:pPr>
        <w:pStyle w:val="Standard"/>
        <w:spacing w:after="0"/>
        <w:jc w:val="both"/>
        <w:rPr>
          <w:rFonts w:ascii="Verdana" w:hAnsi="Verdana"/>
          <w:color w:val="7F7F7F" w:themeColor="text1" w:themeTint="80"/>
          <w:sz w:val="16"/>
          <w:szCs w:val="16"/>
        </w:rPr>
      </w:pPr>
      <w:r w:rsidRPr="008233EA">
        <w:rPr>
          <w:rFonts w:ascii="Verdana" w:hAnsi="Verdana"/>
          <w:color w:val="7F7F7F" w:themeColor="text1" w:themeTint="80"/>
          <w:sz w:val="16"/>
          <w:szCs w:val="16"/>
        </w:rPr>
        <w:t>Dans le secteur de la chirurgie dentaire, l’usage des nanomatériaux est largement intégré. Ils sont présents dans les matériaux destinés à la prévention, le pronostic, les soins conservateurs et restaurateurs, la régénération tissulaire et la prophylaxie individuelle via les cosmétiques (bain de bouche, dentifrices) et les dispositifs médicaux. Le TiO2, l’hydroxyapatite, le phosphate de calcium, les oxydes de silicium ou de zirconium à l’état nanoparticulaire sont concernés.</w:t>
      </w:r>
    </w:p>
    <w:p w14:paraId="08274DD3" w14:textId="77777777" w:rsidR="001B2C72" w:rsidRPr="00103874" w:rsidRDefault="001B2C72" w:rsidP="00CF169E">
      <w:pPr>
        <w:pStyle w:val="Standard"/>
        <w:spacing w:after="0"/>
        <w:rPr>
          <w:rFonts w:ascii="Verdana" w:hAnsi="Verdana"/>
          <w:color w:val="7F7F7F" w:themeColor="text1" w:themeTint="80"/>
          <w:sz w:val="16"/>
          <w:szCs w:val="16"/>
        </w:rPr>
      </w:pPr>
    </w:p>
    <w:p w14:paraId="5685461F" w14:textId="77777777" w:rsidR="00007E80" w:rsidRPr="00103874" w:rsidRDefault="00085A92" w:rsidP="00103874">
      <w:pPr>
        <w:pStyle w:val="Standard"/>
        <w:spacing w:after="0"/>
        <w:rPr>
          <w:rStyle w:val="jsgrdq"/>
          <w:rFonts w:ascii="Verdana" w:hAnsi="Verdana"/>
          <w:color w:val="279097"/>
          <w:sz w:val="16"/>
          <w:szCs w:val="16"/>
          <w:u w:val="single"/>
        </w:rPr>
      </w:pPr>
      <w:r w:rsidRPr="00103874">
        <w:rPr>
          <w:rStyle w:val="jsgrdq"/>
          <w:rFonts w:ascii="Verdana" w:hAnsi="Verdana"/>
          <w:color w:val="279097"/>
          <w:sz w:val="16"/>
          <w:szCs w:val="16"/>
          <w:u w:val="single"/>
        </w:rPr>
        <w:t>Comment les repérer ?</w:t>
      </w:r>
    </w:p>
    <w:p w14:paraId="472017F7" w14:textId="77777777" w:rsidR="00007E80" w:rsidRPr="008233EA" w:rsidRDefault="00085A92" w:rsidP="00F52D68">
      <w:pPr>
        <w:pStyle w:val="Standard"/>
        <w:spacing w:after="0"/>
        <w:jc w:val="both"/>
        <w:rPr>
          <w:rFonts w:ascii="Verdana" w:hAnsi="Verdana"/>
          <w:color w:val="7F7F7F" w:themeColor="text1" w:themeTint="80"/>
          <w:sz w:val="16"/>
          <w:szCs w:val="16"/>
        </w:rPr>
      </w:pPr>
      <w:r w:rsidRPr="008233EA">
        <w:rPr>
          <w:rFonts w:ascii="Verdana" w:hAnsi="Verdana"/>
          <w:color w:val="7F7F7F" w:themeColor="text1" w:themeTint="80"/>
          <w:sz w:val="16"/>
          <w:szCs w:val="16"/>
        </w:rPr>
        <w:t>Afin de gérer le risque environnemental au sein du cabinet dentaire, l’étape primordiale est de savoir le repérer. Pour les substances entrant dans la catégorie des risques émergents cette étape est rendue plus complexe du fait même de leur caractère émergent.</w:t>
      </w:r>
    </w:p>
    <w:p w14:paraId="69C9CAD1" w14:textId="3A7B1013" w:rsidR="00007E80" w:rsidRPr="008233EA" w:rsidRDefault="00085A92" w:rsidP="00F52D68">
      <w:pPr>
        <w:pStyle w:val="Standard"/>
        <w:spacing w:after="0"/>
        <w:jc w:val="both"/>
        <w:rPr>
          <w:rFonts w:ascii="Verdana" w:hAnsi="Verdana"/>
          <w:color w:val="7F7F7F" w:themeColor="text1" w:themeTint="80"/>
          <w:sz w:val="16"/>
          <w:szCs w:val="16"/>
        </w:rPr>
      </w:pPr>
      <w:r w:rsidRPr="008233EA">
        <w:rPr>
          <w:rFonts w:ascii="Verdana" w:hAnsi="Verdana"/>
          <w:color w:val="7F7F7F" w:themeColor="text1" w:themeTint="80"/>
          <w:sz w:val="16"/>
          <w:szCs w:val="16"/>
        </w:rPr>
        <w:t>La multifactorialité de certaines pathologies en lien</w:t>
      </w:r>
      <w:r w:rsidR="00237A70">
        <w:rPr>
          <w:rFonts w:ascii="Verdana" w:hAnsi="Verdana"/>
          <w:color w:val="7F7F7F" w:themeColor="text1" w:themeTint="80"/>
          <w:sz w:val="16"/>
          <w:szCs w:val="16"/>
        </w:rPr>
        <w:t xml:space="preserve"> </w:t>
      </w:r>
      <w:r w:rsidRPr="008233EA">
        <w:rPr>
          <w:rFonts w:ascii="Verdana" w:hAnsi="Verdana"/>
          <w:color w:val="7F7F7F" w:themeColor="text1" w:themeTint="80"/>
          <w:sz w:val="16"/>
          <w:szCs w:val="16"/>
        </w:rPr>
        <w:t xml:space="preserve">est en évolution et révision permanente. </w:t>
      </w:r>
    </w:p>
    <w:p w14:paraId="6780695D" w14:textId="77777777" w:rsidR="00007E80" w:rsidRPr="008233EA" w:rsidRDefault="00007E80" w:rsidP="00CF169E">
      <w:pPr>
        <w:pStyle w:val="Standard"/>
        <w:spacing w:after="0"/>
        <w:rPr>
          <w:rFonts w:ascii="Verdana" w:hAnsi="Verdana"/>
          <w:color w:val="7F7F7F" w:themeColor="text1" w:themeTint="80"/>
          <w:sz w:val="16"/>
          <w:szCs w:val="16"/>
        </w:rPr>
      </w:pPr>
    </w:p>
    <w:p w14:paraId="5A882E32" w14:textId="77777777" w:rsidR="00007E80" w:rsidRPr="008233EA" w:rsidRDefault="00085A92" w:rsidP="00CF169E">
      <w:pPr>
        <w:pStyle w:val="Standard"/>
        <w:spacing w:after="0"/>
        <w:rPr>
          <w:rFonts w:ascii="Verdana" w:hAnsi="Verdana"/>
          <w:color w:val="7F7F7F" w:themeColor="text1" w:themeTint="80"/>
          <w:sz w:val="16"/>
          <w:szCs w:val="16"/>
        </w:rPr>
      </w:pPr>
      <w:r w:rsidRPr="008233EA">
        <w:rPr>
          <w:rFonts w:ascii="Verdana" w:hAnsi="Verdana"/>
          <w:color w:val="7F7F7F" w:themeColor="text1" w:themeTint="80"/>
          <w:sz w:val="16"/>
          <w:szCs w:val="16"/>
        </w:rPr>
        <w:t>Les perturbateurs endocriniens peuvent être classés selon les :</w:t>
      </w:r>
    </w:p>
    <w:p w14:paraId="681DE5A0" w14:textId="6E6F9A26" w:rsidR="00007E80" w:rsidRPr="008233EA" w:rsidRDefault="00085A92" w:rsidP="00F52D68">
      <w:pPr>
        <w:pStyle w:val="Standard"/>
        <w:spacing w:after="0"/>
        <w:jc w:val="both"/>
        <w:rPr>
          <w:rFonts w:ascii="Verdana" w:hAnsi="Verdana"/>
          <w:color w:val="7F7F7F" w:themeColor="text1" w:themeTint="80"/>
          <w:sz w:val="16"/>
          <w:szCs w:val="16"/>
        </w:rPr>
      </w:pPr>
      <w:r w:rsidRPr="008233EA">
        <w:rPr>
          <w:rFonts w:ascii="Verdana" w:hAnsi="Verdana"/>
          <w:color w:val="7F7F7F" w:themeColor="text1" w:themeTint="80"/>
          <w:sz w:val="16"/>
          <w:szCs w:val="16"/>
        </w:rPr>
        <w:t xml:space="preserve"> - </w:t>
      </w:r>
      <w:r w:rsidR="00F52D68">
        <w:rPr>
          <w:rFonts w:ascii="Verdana" w:hAnsi="Verdana"/>
          <w:color w:val="7F7F7F" w:themeColor="text1" w:themeTint="80"/>
          <w:sz w:val="16"/>
          <w:szCs w:val="16"/>
        </w:rPr>
        <w:tab/>
      </w:r>
      <w:r w:rsidRPr="008233EA">
        <w:rPr>
          <w:rFonts w:ascii="Verdana" w:hAnsi="Verdana"/>
          <w:color w:val="7F7F7F" w:themeColor="text1" w:themeTint="80"/>
          <w:sz w:val="16"/>
          <w:szCs w:val="16"/>
        </w:rPr>
        <w:t>types d’activité hormonale tel que le mécanisme œstrogénique,</w:t>
      </w:r>
    </w:p>
    <w:p w14:paraId="2136A6CD" w14:textId="00938CC1" w:rsidR="00007E80" w:rsidRPr="008233EA" w:rsidRDefault="00085A92" w:rsidP="00F52D68">
      <w:pPr>
        <w:pStyle w:val="Standard"/>
        <w:spacing w:after="0"/>
        <w:ind w:left="708" w:hanging="708"/>
        <w:jc w:val="both"/>
        <w:rPr>
          <w:rFonts w:ascii="Verdana" w:hAnsi="Verdana"/>
          <w:color w:val="7F7F7F" w:themeColor="text1" w:themeTint="80"/>
          <w:sz w:val="16"/>
          <w:szCs w:val="16"/>
        </w:rPr>
      </w:pPr>
      <w:r w:rsidRPr="008233EA">
        <w:rPr>
          <w:rFonts w:ascii="Verdana" w:hAnsi="Verdana"/>
          <w:color w:val="7F7F7F" w:themeColor="text1" w:themeTint="80"/>
          <w:sz w:val="16"/>
          <w:szCs w:val="16"/>
        </w:rPr>
        <w:t xml:space="preserve"> - </w:t>
      </w:r>
      <w:r w:rsidR="00F52D68">
        <w:rPr>
          <w:rFonts w:ascii="Verdana" w:hAnsi="Verdana"/>
          <w:color w:val="7F7F7F" w:themeColor="text1" w:themeTint="80"/>
          <w:sz w:val="16"/>
          <w:szCs w:val="16"/>
        </w:rPr>
        <w:tab/>
      </w:r>
      <w:r w:rsidRPr="008233EA">
        <w:rPr>
          <w:rFonts w:ascii="Verdana" w:hAnsi="Verdana"/>
          <w:color w:val="7F7F7F" w:themeColor="text1" w:themeTint="80"/>
          <w:sz w:val="16"/>
          <w:szCs w:val="16"/>
        </w:rPr>
        <w:t xml:space="preserve">catégories d’effet sanitaire ou d’organe cible tels que le neurodéveloppement et la perturbation thyroïdienne, compositions moléculaires tels que les bisphénols, les phtalates, les parabènes, les dérivés halogénés ou chlorés </w:t>
      </w:r>
      <w:r w:rsidR="00237A70">
        <w:rPr>
          <w:rFonts w:ascii="Verdana" w:hAnsi="Verdana"/>
          <w:color w:val="7F7F7F" w:themeColor="text1" w:themeTint="80"/>
          <w:sz w:val="16"/>
          <w:szCs w:val="16"/>
        </w:rPr>
        <w:t>comme</w:t>
      </w:r>
      <w:r w:rsidRPr="008233EA">
        <w:rPr>
          <w:rFonts w:ascii="Verdana" w:hAnsi="Verdana"/>
          <w:color w:val="7F7F7F" w:themeColor="text1" w:themeTint="80"/>
          <w:sz w:val="16"/>
          <w:szCs w:val="16"/>
        </w:rPr>
        <w:t xml:space="preserve"> le triclosan autorisé à une concentration maximale de 0,3% dans les dentifrices, les composés phénoliques, les dioxines ou encore les métaux lourds comme le mercure,</w:t>
      </w:r>
    </w:p>
    <w:p w14:paraId="6BC25B5A" w14:textId="6975478A" w:rsidR="00F52D68" w:rsidRDefault="00085A92" w:rsidP="00F52D68">
      <w:pPr>
        <w:pStyle w:val="Standard"/>
        <w:spacing w:after="0"/>
        <w:ind w:left="708" w:hanging="648"/>
        <w:jc w:val="both"/>
        <w:rPr>
          <w:rFonts w:ascii="Verdana" w:hAnsi="Verdana"/>
          <w:color w:val="7F7F7F" w:themeColor="text1" w:themeTint="80"/>
          <w:sz w:val="16"/>
          <w:szCs w:val="16"/>
        </w:rPr>
      </w:pPr>
      <w:r w:rsidRPr="008233EA">
        <w:rPr>
          <w:rFonts w:ascii="Verdana" w:hAnsi="Verdana"/>
          <w:color w:val="7F7F7F" w:themeColor="text1" w:themeTint="80"/>
          <w:sz w:val="16"/>
          <w:szCs w:val="16"/>
        </w:rPr>
        <w:t xml:space="preserve">- </w:t>
      </w:r>
      <w:r w:rsidR="00F52D68">
        <w:rPr>
          <w:rFonts w:ascii="Verdana" w:hAnsi="Verdana"/>
          <w:color w:val="7F7F7F" w:themeColor="text1" w:themeTint="80"/>
          <w:sz w:val="16"/>
          <w:szCs w:val="16"/>
        </w:rPr>
        <w:tab/>
      </w:r>
      <w:r w:rsidRPr="008233EA">
        <w:rPr>
          <w:rFonts w:ascii="Verdana" w:hAnsi="Verdana"/>
          <w:color w:val="7F7F7F" w:themeColor="text1" w:themeTint="80"/>
          <w:sz w:val="16"/>
          <w:szCs w:val="16"/>
        </w:rPr>
        <w:t xml:space="preserve">catégories du secteur économique ou les usages industriels qui en sont faits comme les pesticides, les médicaments, les cosmétiques ou les plastifiants. </w:t>
      </w:r>
    </w:p>
    <w:p w14:paraId="5E7D99A1" w14:textId="77777777" w:rsidR="00F52D68" w:rsidRDefault="00F52D68" w:rsidP="00CF169E">
      <w:pPr>
        <w:pStyle w:val="Standard"/>
        <w:spacing w:after="0"/>
        <w:rPr>
          <w:rFonts w:ascii="Verdana" w:hAnsi="Verdana"/>
          <w:color w:val="7F7F7F" w:themeColor="text1" w:themeTint="80"/>
          <w:sz w:val="16"/>
          <w:szCs w:val="16"/>
        </w:rPr>
      </w:pPr>
    </w:p>
    <w:p w14:paraId="5BE6D74F" w14:textId="27ADE8B2" w:rsidR="00007E80" w:rsidRPr="008233EA" w:rsidRDefault="00085A92" w:rsidP="00227548">
      <w:pPr>
        <w:pStyle w:val="Standard"/>
        <w:spacing w:after="0"/>
        <w:jc w:val="both"/>
        <w:rPr>
          <w:rFonts w:ascii="Verdana" w:hAnsi="Verdana"/>
          <w:color w:val="7F7F7F" w:themeColor="text1" w:themeTint="80"/>
          <w:sz w:val="16"/>
          <w:szCs w:val="16"/>
        </w:rPr>
      </w:pPr>
      <w:r w:rsidRPr="008233EA">
        <w:rPr>
          <w:rFonts w:ascii="Verdana" w:hAnsi="Verdana"/>
          <w:color w:val="7F7F7F" w:themeColor="text1" w:themeTint="80"/>
          <w:sz w:val="16"/>
          <w:szCs w:val="16"/>
        </w:rPr>
        <w:lastRenderedPageBreak/>
        <w:t xml:space="preserve">Ainsi, le </w:t>
      </w:r>
      <w:r w:rsidR="00007E80" w:rsidRPr="008233EA">
        <w:rPr>
          <w:rFonts w:ascii="Verdana" w:hAnsi="Verdana"/>
          <w:color w:val="7F7F7F" w:themeColor="text1" w:themeTint="80"/>
          <w:sz w:val="16"/>
          <w:szCs w:val="16"/>
        </w:rPr>
        <w:t>règlement</w:t>
      </w:r>
      <w:r w:rsidRPr="008233EA">
        <w:rPr>
          <w:rFonts w:ascii="Verdana" w:hAnsi="Verdana"/>
          <w:color w:val="7F7F7F" w:themeColor="text1" w:themeTint="80"/>
          <w:sz w:val="16"/>
          <w:szCs w:val="16"/>
        </w:rPr>
        <w:t xml:space="preserve"> REACH procède à l’identification des substances, jusqu’à présent, seule une dizaine d’entre elles ont fait l’objet de cette reconnaissance</w:t>
      </w:r>
      <w:r w:rsidR="00103874">
        <w:rPr>
          <w:rFonts w:ascii="Verdana" w:hAnsi="Verdana"/>
          <w:color w:val="7F7F7F" w:themeColor="text1" w:themeTint="80"/>
          <w:sz w:val="16"/>
          <w:szCs w:val="16"/>
        </w:rPr>
        <w:t xml:space="preserve"> dont</w:t>
      </w:r>
      <w:r w:rsidRPr="008233EA">
        <w:rPr>
          <w:rFonts w:ascii="Verdana" w:hAnsi="Verdana"/>
          <w:color w:val="7F7F7F" w:themeColor="text1" w:themeTint="80"/>
          <w:sz w:val="16"/>
          <w:szCs w:val="16"/>
        </w:rPr>
        <w:t xml:space="preserve"> le BPA et certains phtalates couramment présents dans les plastiques des dispositifs médicaux. </w:t>
      </w:r>
    </w:p>
    <w:p w14:paraId="533C5275" w14:textId="6E1D504B" w:rsidR="00103874" w:rsidRDefault="00007E80" w:rsidP="00103874">
      <w:pPr>
        <w:pStyle w:val="Standard"/>
        <w:spacing w:after="0"/>
        <w:jc w:val="both"/>
        <w:rPr>
          <w:rFonts w:ascii="Verdana" w:hAnsi="Verdana"/>
          <w:color w:val="7F7F7F" w:themeColor="text1" w:themeTint="80"/>
          <w:sz w:val="16"/>
          <w:szCs w:val="16"/>
        </w:rPr>
      </w:pPr>
      <w:r w:rsidRPr="008233EA">
        <w:rPr>
          <w:rFonts w:ascii="Verdana" w:hAnsi="Verdana"/>
          <w:color w:val="7F7F7F" w:themeColor="text1" w:themeTint="80"/>
          <w:sz w:val="16"/>
          <w:szCs w:val="16"/>
        </w:rPr>
        <w:t>La déclaration de mise sur le marché français de toutes les substances assimilables à un nanomatériau à partir d’un seuil minimal de 100 g/an est obligatoire pour le fabricant, l’importateur ou le distributeur. Elles sont répertoriées dans un registre national via l’adresse r-nano.fr. En parallèle, Les règlementations française et européenne imposent, depuis 2013, de mentionner leur présence sur l’étiquette des produits biocides et cosmétiques qui en contiennent.</w:t>
      </w:r>
    </w:p>
    <w:p w14:paraId="759E5251" w14:textId="55C8DE0B" w:rsidR="0010275A" w:rsidRDefault="0010275A" w:rsidP="00103874">
      <w:pPr>
        <w:pStyle w:val="Standard"/>
        <w:spacing w:after="0"/>
        <w:jc w:val="both"/>
        <w:rPr>
          <w:rFonts w:ascii="Verdana" w:hAnsi="Verdana"/>
          <w:color w:val="7F7F7F" w:themeColor="text1" w:themeTint="80"/>
          <w:sz w:val="16"/>
          <w:szCs w:val="16"/>
        </w:rPr>
      </w:pPr>
    </w:p>
    <w:p w14:paraId="69425FDA" w14:textId="4C342AEB" w:rsidR="00007E80" w:rsidRPr="00170E67" w:rsidRDefault="00007E80" w:rsidP="00103874">
      <w:pPr>
        <w:pStyle w:val="Standard"/>
        <w:spacing w:after="0"/>
        <w:jc w:val="both"/>
        <w:rPr>
          <w:i/>
          <w:iCs/>
          <w:color w:val="7F7F7F" w:themeColor="text1" w:themeTint="80"/>
          <w:sz w:val="16"/>
          <w:szCs w:val="16"/>
        </w:rPr>
      </w:pPr>
      <w:r w:rsidRPr="00170E67">
        <w:rPr>
          <w:i/>
          <w:iCs/>
          <w:color w:val="7F7F7F" w:themeColor="text1" w:themeTint="80"/>
          <w:sz w:val="16"/>
          <w:szCs w:val="16"/>
        </w:rPr>
        <w:t xml:space="preserve">Pour mémoire, l’ADEME en partenariat avec le Conseil de l’Ordre national des </w:t>
      </w:r>
      <w:r w:rsidR="00002703" w:rsidRPr="00170E67">
        <w:rPr>
          <w:i/>
          <w:iCs/>
          <w:color w:val="7F7F7F" w:themeColor="text1" w:themeTint="80"/>
          <w:sz w:val="16"/>
          <w:szCs w:val="16"/>
        </w:rPr>
        <w:t>chirurgiens-dentistes</w:t>
      </w:r>
      <w:r w:rsidRPr="00170E67">
        <w:rPr>
          <w:i/>
          <w:iCs/>
          <w:color w:val="7F7F7F" w:themeColor="text1" w:themeTint="80"/>
          <w:sz w:val="16"/>
          <w:szCs w:val="16"/>
        </w:rPr>
        <w:t xml:space="preserve"> a édité un mémo rassemblant les obligations réglementaires qui s’appliquent pour les déchets spécifiques à l’activité de la médecine bucco-dentaire. Les déchets produits au sein des cabinets dentaires y sont classés en 3 grandes catégories : « déchets infectieux », « déchets spécifiques », « déchets assimilables aux ordures ménagères</w:t>
      </w:r>
      <w:r w:rsidR="00170E67">
        <w:rPr>
          <w:i/>
          <w:iCs/>
          <w:color w:val="7F7F7F" w:themeColor="text1" w:themeTint="80"/>
          <w:sz w:val="16"/>
          <w:szCs w:val="16"/>
        </w:rPr>
        <w:t>.</w:t>
      </w:r>
    </w:p>
    <w:p w14:paraId="726B97F1" w14:textId="77777777" w:rsidR="00007E80" w:rsidRPr="008233EA" w:rsidRDefault="00007E80" w:rsidP="00CF169E">
      <w:pPr>
        <w:pStyle w:val="Standard"/>
        <w:spacing w:after="0"/>
        <w:rPr>
          <w:rStyle w:val="jsgrdq"/>
          <w:rFonts w:ascii="Verdana" w:hAnsi="Verdana"/>
          <w:color w:val="7F7F7F" w:themeColor="text1" w:themeTint="80"/>
          <w:sz w:val="16"/>
          <w:szCs w:val="16"/>
        </w:rPr>
      </w:pPr>
    </w:p>
    <w:sectPr w:rsidR="00007E80" w:rsidRPr="008233EA" w:rsidSect="005C74F6">
      <w:footerReference w:type="default" r:id="rId19"/>
      <w:pgSz w:w="11906" w:h="16838"/>
      <w:pgMar w:top="1417" w:right="1417" w:bottom="1417" w:left="1417" w:header="457" w:footer="6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9ED5B" w14:textId="77777777" w:rsidR="006E48CE" w:rsidRDefault="006E48CE">
      <w:pPr>
        <w:spacing w:after="0"/>
      </w:pPr>
      <w:r>
        <w:separator/>
      </w:r>
    </w:p>
  </w:endnote>
  <w:endnote w:type="continuationSeparator" w:id="0">
    <w:p w14:paraId="4C1EF525" w14:textId="77777777" w:rsidR="006E48CE" w:rsidRDefault="006E48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3C40" w14:textId="2A28B0EB" w:rsidR="007930F3" w:rsidRDefault="00832A02">
    <w:pPr>
      <w:pStyle w:val="Pieddepage"/>
      <w:jc w:val="center"/>
    </w:pPr>
    <w:r>
      <w:rPr>
        <w:noProof/>
        <w:lang w:eastAsia="fr-FR"/>
      </w:rPr>
      <mc:AlternateContent>
        <mc:Choice Requires="wps">
          <w:drawing>
            <wp:anchor distT="0" distB="0" distL="114300" distR="114300" simplePos="0" relativeHeight="251659264" behindDoc="0" locked="0" layoutInCell="1" allowOverlap="1" wp14:anchorId="5881CA1F" wp14:editId="7617F332">
              <wp:simplePos x="0" y="0"/>
              <wp:positionH relativeFrom="margin">
                <wp:align>center</wp:align>
              </wp:positionH>
              <wp:positionV relativeFrom="page">
                <wp:align>bottom</wp:align>
              </wp:positionV>
              <wp:extent cx="5939155" cy="740410"/>
              <wp:effectExtent l="0" t="0" r="4445" b="0"/>
              <wp:wrapNone/>
              <wp:docPr id="451"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FA0D4" w14:textId="1945D93E" w:rsidR="00075E97" w:rsidRDefault="00075E97" w:rsidP="00075E97">
                          <w:pPr>
                            <w:pStyle w:val="Pieddepage"/>
                            <w:jc w:val="right"/>
                          </w:pPr>
                          <w:r w:rsidRPr="006F4B4B">
                            <w:rPr>
                              <w:rStyle w:val="jsgrdq"/>
                              <w:rFonts w:ascii="Verdana" w:hAnsi="Verdana"/>
                              <w:color w:val="279097"/>
                              <w:sz w:val="14"/>
                              <w:szCs w:val="14"/>
                            </w:rPr>
                            <w:t xml:space="preserve">        </w:t>
                          </w:r>
                          <w:r>
                            <w:rPr>
                              <w:rStyle w:val="jsgrdq"/>
                              <w:rFonts w:ascii="Verdana" w:hAnsi="Verdana"/>
                              <w:color w:val="279097"/>
                              <w:sz w:val="14"/>
                              <w:szCs w:val="14"/>
                            </w:rPr>
                            <w:t xml:space="preserve">Cabinet Éco-Responsable – Gestion des déchets </w:t>
                          </w:r>
                          <w:r w:rsidRPr="006F4B4B">
                            <w:rPr>
                              <w:rStyle w:val="jsgrdq"/>
                              <w:rFonts w:ascii="Verdana" w:hAnsi="Verdana"/>
                              <w:color w:val="279097"/>
                              <w:sz w:val="14"/>
                              <w:szCs w:val="14"/>
                            </w:rPr>
                            <w:t>/URPS CD Occitanie –</w:t>
                          </w:r>
                          <w:r>
                            <w:rPr>
                              <w:rStyle w:val="jsgrdq"/>
                              <w:rFonts w:ascii="Verdana" w:hAnsi="Verdana"/>
                              <w:color w:val="279097"/>
                              <w:sz w:val="14"/>
                              <w:szCs w:val="14"/>
                            </w:rPr>
                            <w:t>Sept 2023</w:t>
                          </w:r>
                        </w:p>
                        <w:p w14:paraId="7569C525" w14:textId="77777777" w:rsidR="00075E97" w:rsidRDefault="00075E97" w:rsidP="00075E97">
                          <w:pPr>
                            <w:pStyle w:val="Pieddepage"/>
                          </w:pPr>
                        </w:p>
                        <w:p w14:paraId="12A24DD7" w14:textId="70928C5C" w:rsidR="00832A02" w:rsidRPr="00162E42" w:rsidRDefault="00832A02">
                          <w:pPr>
                            <w:jc w:val="right"/>
                            <w:rPr>
                              <w:rFonts w:ascii="Verdana" w:hAnsi="Verdana"/>
                              <w:color w:val="008582"/>
                              <w:sz w:val="16"/>
                              <w:szCs w:val="16"/>
                            </w:rPr>
                          </w:pP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5881CA1F" id="Rectangle 451" o:spid="_x0000_s1026" style="position:absolute;left:0;text-align:left;margin-left:0;margin-top:0;width:467.65pt;height:58.3pt;z-index:251659264;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" filled="f" stroked="f">
              <v:textbox inset=",0">
                <w:txbxContent>
                  <w:p w14:paraId="411FA0D4" w14:textId="1945D93E" w:rsidR="00075E97" w:rsidRDefault="00075E97" w:rsidP="00075E97">
                    <w:pPr>
                      <w:pStyle w:val="Pieddepage"/>
                      <w:jc w:val="right"/>
                    </w:pPr>
                    <w:r w:rsidRPr="006F4B4B">
                      <w:rPr>
                        <w:rStyle w:val="jsgrdq"/>
                        <w:rFonts w:ascii="Verdana" w:hAnsi="Verdana"/>
                        <w:color w:val="279097"/>
                        <w:sz w:val="14"/>
                        <w:szCs w:val="14"/>
                      </w:rPr>
                      <w:t xml:space="preserve">        </w:t>
                    </w:r>
                    <w:r>
                      <w:rPr>
                        <w:rStyle w:val="jsgrdq"/>
                        <w:rFonts w:ascii="Verdana" w:hAnsi="Verdana"/>
                        <w:color w:val="279097"/>
                        <w:sz w:val="14"/>
                        <w:szCs w:val="14"/>
                      </w:rPr>
                      <w:t xml:space="preserve">Cabinet Éco-Responsable – Gestion des déchets </w:t>
                    </w:r>
                    <w:r w:rsidRPr="006F4B4B">
                      <w:rPr>
                        <w:rStyle w:val="jsgrdq"/>
                        <w:rFonts w:ascii="Verdana" w:hAnsi="Verdana"/>
                        <w:color w:val="279097"/>
                        <w:sz w:val="14"/>
                        <w:szCs w:val="14"/>
                      </w:rPr>
                      <w:t>/URPS CD Occitanie –</w:t>
                    </w:r>
                    <w:r>
                      <w:rPr>
                        <w:rStyle w:val="jsgrdq"/>
                        <w:rFonts w:ascii="Verdana" w:hAnsi="Verdana"/>
                        <w:color w:val="279097"/>
                        <w:sz w:val="14"/>
                        <w:szCs w:val="14"/>
                      </w:rPr>
                      <w:t>Sept 2023</w:t>
                    </w:r>
                  </w:p>
                  <w:p w14:paraId="7569C525" w14:textId="77777777" w:rsidR="00075E97" w:rsidRDefault="00075E97" w:rsidP="00075E97">
                    <w:pPr>
                      <w:pStyle w:val="Pieddepage"/>
                    </w:pPr>
                  </w:p>
                  <w:p w14:paraId="12A24DD7" w14:textId="70928C5C" w:rsidR="00832A02" w:rsidRPr="00162E42" w:rsidRDefault="00832A02">
                    <w:pPr>
                      <w:jc w:val="right"/>
                      <w:rPr>
                        <w:rFonts w:ascii="Verdana" w:hAnsi="Verdana"/>
                        <w:color w:val="008582"/>
                        <w:sz w:val="16"/>
                        <w:szCs w:val="16"/>
                      </w:rPr>
                    </w:pPr>
                  </w:p>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EC757" w14:textId="77777777" w:rsidR="006E48CE" w:rsidRDefault="006E48CE">
      <w:pPr>
        <w:spacing w:after="0"/>
      </w:pPr>
      <w:r>
        <w:rPr>
          <w:color w:val="000000"/>
        </w:rPr>
        <w:separator/>
      </w:r>
    </w:p>
  </w:footnote>
  <w:footnote w:type="continuationSeparator" w:id="0">
    <w:p w14:paraId="25A3B702" w14:textId="77777777" w:rsidR="006E48CE" w:rsidRDefault="006E48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995"/>
    <w:multiLevelType w:val="multilevel"/>
    <w:tmpl w:val="2A5209EE"/>
    <w:styleLink w:val="WWNum8"/>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 w15:restartNumberingAfterBreak="0">
    <w:nsid w:val="01BE0479"/>
    <w:multiLevelType w:val="multilevel"/>
    <w:tmpl w:val="A9BE6718"/>
    <w:styleLink w:val="WWNum10"/>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 w15:restartNumberingAfterBreak="0">
    <w:nsid w:val="0EF57462"/>
    <w:multiLevelType w:val="multilevel"/>
    <w:tmpl w:val="41A84C04"/>
    <w:styleLink w:val="WWNum1"/>
    <w:lvl w:ilvl="0">
      <w:numFmt w:val="bullet"/>
      <w:lvlText w:val=""/>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F6D7F93"/>
    <w:multiLevelType w:val="hybridMultilevel"/>
    <w:tmpl w:val="EFBE04D8"/>
    <w:lvl w:ilvl="0" w:tplc="040C000F">
      <w:start w:val="1"/>
      <w:numFmt w:val="decimal"/>
      <w:lvlText w:val="%1."/>
      <w:lvlJc w:val="left"/>
      <w:pPr>
        <w:ind w:left="832" w:hanging="360"/>
      </w:pPr>
    </w:lvl>
    <w:lvl w:ilvl="1" w:tplc="040C0019" w:tentative="1">
      <w:start w:val="1"/>
      <w:numFmt w:val="lowerLetter"/>
      <w:lvlText w:val="%2."/>
      <w:lvlJc w:val="left"/>
      <w:pPr>
        <w:ind w:left="1552" w:hanging="360"/>
      </w:pPr>
    </w:lvl>
    <w:lvl w:ilvl="2" w:tplc="040C001B" w:tentative="1">
      <w:start w:val="1"/>
      <w:numFmt w:val="lowerRoman"/>
      <w:lvlText w:val="%3."/>
      <w:lvlJc w:val="right"/>
      <w:pPr>
        <w:ind w:left="2272" w:hanging="180"/>
      </w:pPr>
    </w:lvl>
    <w:lvl w:ilvl="3" w:tplc="040C000F" w:tentative="1">
      <w:start w:val="1"/>
      <w:numFmt w:val="decimal"/>
      <w:lvlText w:val="%4."/>
      <w:lvlJc w:val="left"/>
      <w:pPr>
        <w:ind w:left="2992" w:hanging="360"/>
      </w:pPr>
    </w:lvl>
    <w:lvl w:ilvl="4" w:tplc="040C0019" w:tentative="1">
      <w:start w:val="1"/>
      <w:numFmt w:val="lowerLetter"/>
      <w:lvlText w:val="%5."/>
      <w:lvlJc w:val="left"/>
      <w:pPr>
        <w:ind w:left="3712" w:hanging="360"/>
      </w:pPr>
    </w:lvl>
    <w:lvl w:ilvl="5" w:tplc="040C001B" w:tentative="1">
      <w:start w:val="1"/>
      <w:numFmt w:val="lowerRoman"/>
      <w:lvlText w:val="%6."/>
      <w:lvlJc w:val="right"/>
      <w:pPr>
        <w:ind w:left="4432" w:hanging="180"/>
      </w:pPr>
    </w:lvl>
    <w:lvl w:ilvl="6" w:tplc="040C000F" w:tentative="1">
      <w:start w:val="1"/>
      <w:numFmt w:val="decimal"/>
      <w:lvlText w:val="%7."/>
      <w:lvlJc w:val="left"/>
      <w:pPr>
        <w:ind w:left="5152" w:hanging="360"/>
      </w:pPr>
    </w:lvl>
    <w:lvl w:ilvl="7" w:tplc="040C0019" w:tentative="1">
      <w:start w:val="1"/>
      <w:numFmt w:val="lowerLetter"/>
      <w:lvlText w:val="%8."/>
      <w:lvlJc w:val="left"/>
      <w:pPr>
        <w:ind w:left="5872" w:hanging="360"/>
      </w:pPr>
    </w:lvl>
    <w:lvl w:ilvl="8" w:tplc="040C001B" w:tentative="1">
      <w:start w:val="1"/>
      <w:numFmt w:val="lowerRoman"/>
      <w:lvlText w:val="%9."/>
      <w:lvlJc w:val="right"/>
      <w:pPr>
        <w:ind w:left="6592" w:hanging="180"/>
      </w:pPr>
    </w:lvl>
  </w:abstractNum>
  <w:abstractNum w:abstractNumId="4" w15:restartNumberingAfterBreak="0">
    <w:nsid w:val="1CC725B9"/>
    <w:multiLevelType w:val="multilevel"/>
    <w:tmpl w:val="E45EA492"/>
    <w:styleLink w:val="WWNum9"/>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5" w15:restartNumberingAfterBreak="0">
    <w:nsid w:val="1F2E5625"/>
    <w:multiLevelType w:val="hybridMultilevel"/>
    <w:tmpl w:val="7D38526E"/>
    <w:lvl w:ilvl="0" w:tplc="EEFA9494">
      <w:numFmt w:val="bullet"/>
      <w:lvlText w:val="•"/>
      <w:lvlJc w:val="left"/>
      <w:pPr>
        <w:ind w:left="2138" w:hanging="360"/>
      </w:pPr>
      <w:rPr>
        <w:rFonts w:hint="default"/>
        <w:w w:val="100"/>
        <w:sz w:val="32"/>
        <w:szCs w:val="32"/>
        <w:lang w:val="fr-FR" w:eastAsia="en-US" w:bidi="ar-SA"/>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6" w15:restartNumberingAfterBreak="0">
    <w:nsid w:val="297B0B3B"/>
    <w:multiLevelType w:val="multilevel"/>
    <w:tmpl w:val="2730E46A"/>
    <w:styleLink w:val="WWNum5"/>
    <w:lvl w:ilvl="0">
      <w:numFmt w:val="bullet"/>
      <w:lvlText w:val=""/>
      <w:lvlJc w:val="left"/>
      <w:pPr>
        <w:ind w:left="1080" w:hanging="360"/>
      </w:pPr>
    </w:lvl>
    <w:lvl w:ilvl="1">
      <w:numFmt w:val="bullet"/>
      <w:lvlText w:val="o"/>
      <w:lvlJc w:val="left"/>
      <w:pPr>
        <w:ind w:left="1800" w:hanging="360"/>
      </w:pPr>
      <w:rPr>
        <w:rFonts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cs="Courier New"/>
      </w:rPr>
    </w:lvl>
    <w:lvl w:ilvl="8">
      <w:numFmt w:val="bullet"/>
      <w:lvlText w:val=""/>
      <w:lvlJc w:val="left"/>
      <w:pPr>
        <w:ind w:left="6840" w:hanging="360"/>
      </w:pPr>
    </w:lvl>
  </w:abstractNum>
  <w:abstractNum w:abstractNumId="7" w15:restartNumberingAfterBreak="0">
    <w:nsid w:val="2A88533F"/>
    <w:multiLevelType w:val="hybridMultilevel"/>
    <w:tmpl w:val="9FC023A4"/>
    <w:lvl w:ilvl="0" w:tplc="1A8E076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5D1517"/>
    <w:multiLevelType w:val="multilevel"/>
    <w:tmpl w:val="A3965038"/>
    <w:styleLink w:val="WWNum12"/>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9" w15:restartNumberingAfterBreak="0">
    <w:nsid w:val="2C9D36EF"/>
    <w:multiLevelType w:val="multilevel"/>
    <w:tmpl w:val="38988390"/>
    <w:styleLink w:val="WWNum16"/>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0" w15:restartNumberingAfterBreak="0">
    <w:nsid w:val="2D25288E"/>
    <w:multiLevelType w:val="hybridMultilevel"/>
    <w:tmpl w:val="2D5CAC68"/>
    <w:lvl w:ilvl="0" w:tplc="EEFA9494">
      <w:numFmt w:val="bullet"/>
      <w:lvlText w:val="•"/>
      <w:lvlJc w:val="left"/>
      <w:pPr>
        <w:ind w:left="2280" w:hanging="360"/>
      </w:pPr>
      <w:rPr>
        <w:rFonts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1" w15:restartNumberingAfterBreak="0">
    <w:nsid w:val="34D22711"/>
    <w:multiLevelType w:val="multilevel"/>
    <w:tmpl w:val="D54C850C"/>
    <w:styleLink w:val="WWNum6"/>
    <w:lvl w:ilvl="0">
      <w:numFmt w:val="bullet"/>
      <w:lvlText w:val=""/>
      <w:lvlJc w:val="left"/>
      <w:pPr>
        <w:ind w:left="1428" w:hanging="360"/>
      </w:pPr>
    </w:lvl>
    <w:lvl w:ilvl="1">
      <w:numFmt w:val="bullet"/>
      <w:lvlText w:val="o"/>
      <w:lvlJc w:val="left"/>
      <w:pPr>
        <w:ind w:left="2148" w:hanging="360"/>
      </w:pPr>
      <w:rPr>
        <w:rFonts w:cs="Courier New"/>
      </w:rPr>
    </w:lvl>
    <w:lvl w:ilvl="2">
      <w:numFmt w:val="bullet"/>
      <w:lvlText w:val=""/>
      <w:lvlJc w:val="left"/>
      <w:pPr>
        <w:ind w:left="2868" w:hanging="360"/>
      </w:pPr>
    </w:lvl>
    <w:lvl w:ilvl="3">
      <w:numFmt w:val="bullet"/>
      <w:lvlText w:val=""/>
      <w:lvlJc w:val="left"/>
      <w:pPr>
        <w:ind w:left="3588" w:hanging="360"/>
      </w:pPr>
    </w:lvl>
    <w:lvl w:ilvl="4">
      <w:numFmt w:val="bullet"/>
      <w:lvlText w:val="o"/>
      <w:lvlJc w:val="left"/>
      <w:pPr>
        <w:ind w:left="4308" w:hanging="360"/>
      </w:pPr>
      <w:rPr>
        <w:rFonts w:cs="Courier New"/>
      </w:rPr>
    </w:lvl>
    <w:lvl w:ilvl="5">
      <w:numFmt w:val="bullet"/>
      <w:lvlText w:val=""/>
      <w:lvlJc w:val="left"/>
      <w:pPr>
        <w:ind w:left="5028" w:hanging="360"/>
      </w:pPr>
    </w:lvl>
    <w:lvl w:ilvl="6">
      <w:numFmt w:val="bullet"/>
      <w:lvlText w:val=""/>
      <w:lvlJc w:val="left"/>
      <w:pPr>
        <w:ind w:left="5748" w:hanging="360"/>
      </w:pPr>
    </w:lvl>
    <w:lvl w:ilvl="7">
      <w:numFmt w:val="bullet"/>
      <w:lvlText w:val="o"/>
      <w:lvlJc w:val="left"/>
      <w:pPr>
        <w:ind w:left="6468" w:hanging="360"/>
      </w:pPr>
      <w:rPr>
        <w:rFonts w:cs="Courier New"/>
      </w:rPr>
    </w:lvl>
    <w:lvl w:ilvl="8">
      <w:numFmt w:val="bullet"/>
      <w:lvlText w:val=""/>
      <w:lvlJc w:val="left"/>
      <w:pPr>
        <w:ind w:left="7188" w:hanging="360"/>
      </w:pPr>
    </w:lvl>
  </w:abstractNum>
  <w:abstractNum w:abstractNumId="12" w15:restartNumberingAfterBreak="0">
    <w:nsid w:val="3EF45913"/>
    <w:multiLevelType w:val="hybridMultilevel"/>
    <w:tmpl w:val="A3D218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3D694B"/>
    <w:multiLevelType w:val="multilevel"/>
    <w:tmpl w:val="7E064C24"/>
    <w:styleLink w:val="WWNum11"/>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4" w15:restartNumberingAfterBreak="0">
    <w:nsid w:val="43317DCB"/>
    <w:multiLevelType w:val="multilevel"/>
    <w:tmpl w:val="2C0E5B26"/>
    <w:styleLink w:val="WWNum21"/>
    <w:lvl w:ilvl="0">
      <w:numFmt w:val="bullet"/>
      <w:lvlText w:val="-"/>
      <w:lvlJc w:val="left"/>
      <w:pPr>
        <w:ind w:left="1778" w:hanging="360"/>
      </w:pPr>
    </w:lvl>
    <w:lvl w:ilvl="1">
      <w:numFmt w:val="bullet"/>
      <w:lvlText w:val="o"/>
      <w:lvlJc w:val="left"/>
      <w:pPr>
        <w:ind w:left="2498" w:hanging="360"/>
      </w:pPr>
      <w:rPr>
        <w:rFonts w:cs="Courier New"/>
      </w:rPr>
    </w:lvl>
    <w:lvl w:ilvl="2">
      <w:numFmt w:val="bullet"/>
      <w:lvlText w:val=""/>
      <w:lvlJc w:val="left"/>
      <w:pPr>
        <w:ind w:left="3218" w:hanging="360"/>
      </w:pPr>
    </w:lvl>
    <w:lvl w:ilvl="3">
      <w:numFmt w:val="bullet"/>
      <w:lvlText w:val=""/>
      <w:lvlJc w:val="left"/>
      <w:pPr>
        <w:ind w:left="3938" w:hanging="360"/>
      </w:pPr>
    </w:lvl>
    <w:lvl w:ilvl="4">
      <w:numFmt w:val="bullet"/>
      <w:lvlText w:val="o"/>
      <w:lvlJc w:val="left"/>
      <w:pPr>
        <w:ind w:left="4658" w:hanging="360"/>
      </w:pPr>
      <w:rPr>
        <w:rFonts w:cs="Courier New"/>
      </w:rPr>
    </w:lvl>
    <w:lvl w:ilvl="5">
      <w:numFmt w:val="bullet"/>
      <w:lvlText w:val=""/>
      <w:lvlJc w:val="left"/>
      <w:pPr>
        <w:ind w:left="5378" w:hanging="360"/>
      </w:pPr>
    </w:lvl>
    <w:lvl w:ilvl="6">
      <w:numFmt w:val="bullet"/>
      <w:lvlText w:val=""/>
      <w:lvlJc w:val="left"/>
      <w:pPr>
        <w:ind w:left="6098" w:hanging="360"/>
      </w:pPr>
    </w:lvl>
    <w:lvl w:ilvl="7">
      <w:numFmt w:val="bullet"/>
      <w:lvlText w:val="o"/>
      <w:lvlJc w:val="left"/>
      <w:pPr>
        <w:ind w:left="6818" w:hanging="360"/>
      </w:pPr>
      <w:rPr>
        <w:rFonts w:cs="Courier New"/>
      </w:rPr>
    </w:lvl>
    <w:lvl w:ilvl="8">
      <w:numFmt w:val="bullet"/>
      <w:lvlText w:val=""/>
      <w:lvlJc w:val="left"/>
      <w:pPr>
        <w:ind w:left="7538" w:hanging="360"/>
      </w:pPr>
    </w:lvl>
  </w:abstractNum>
  <w:abstractNum w:abstractNumId="15" w15:restartNumberingAfterBreak="0">
    <w:nsid w:val="44B359B6"/>
    <w:multiLevelType w:val="multilevel"/>
    <w:tmpl w:val="A30C7384"/>
    <w:styleLink w:val="WWNum7"/>
    <w:lvl w:ilvl="0">
      <w:numFmt w:val="bullet"/>
      <w:lvlText w:val=""/>
      <w:lvlJc w:val="left"/>
      <w:pPr>
        <w:ind w:left="1428" w:hanging="360"/>
      </w:pPr>
    </w:lvl>
    <w:lvl w:ilvl="1">
      <w:numFmt w:val="bullet"/>
      <w:lvlText w:val="o"/>
      <w:lvlJc w:val="left"/>
      <w:pPr>
        <w:ind w:left="2148" w:hanging="360"/>
      </w:pPr>
      <w:rPr>
        <w:rFonts w:cs="Courier New"/>
      </w:rPr>
    </w:lvl>
    <w:lvl w:ilvl="2">
      <w:numFmt w:val="bullet"/>
      <w:lvlText w:val=""/>
      <w:lvlJc w:val="left"/>
      <w:pPr>
        <w:ind w:left="2868" w:hanging="360"/>
      </w:pPr>
    </w:lvl>
    <w:lvl w:ilvl="3">
      <w:numFmt w:val="bullet"/>
      <w:lvlText w:val=""/>
      <w:lvlJc w:val="left"/>
      <w:pPr>
        <w:ind w:left="3588" w:hanging="360"/>
      </w:pPr>
    </w:lvl>
    <w:lvl w:ilvl="4">
      <w:numFmt w:val="bullet"/>
      <w:lvlText w:val="o"/>
      <w:lvlJc w:val="left"/>
      <w:pPr>
        <w:ind w:left="4308" w:hanging="360"/>
      </w:pPr>
      <w:rPr>
        <w:rFonts w:cs="Courier New"/>
      </w:rPr>
    </w:lvl>
    <w:lvl w:ilvl="5">
      <w:numFmt w:val="bullet"/>
      <w:lvlText w:val=""/>
      <w:lvlJc w:val="left"/>
      <w:pPr>
        <w:ind w:left="5028" w:hanging="360"/>
      </w:pPr>
    </w:lvl>
    <w:lvl w:ilvl="6">
      <w:numFmt w:val="bullet"/>
      <w:lvlText w:val=""/>
      <w:lvlJc w:val="left"/>
      <w:pPr>
        <w:ind w:left="5748" w:hanging="360"/>
      </w:pPr>
    </w:lvl>
    <w:lvl w:ilvl="7">
      <w:numFmt w:val="bullet"/>
      <w:lvlText w:val="o"/>
      <w:lvlJc w:val="left"/>
      <w:pPr>
        <w:ind w:left="6468" w:hanging="360"/>
      </w:pPr>
      <w:rPr>
        <w:rFonts w:cs="Courier New"/>
      </w:rPr>
    </w:lvl>
    <w:lvl w:ilvl="8">
      <w:numFmt w:val="bullet"/>
      <w:lvlText w:val=""/>
      <w:lvlJc w:val="left"/>
      <w:pPr>
        <w:ind w:left="7188" w:hanging="360"/>
      </w:pPr>
    </w:lvl>
  </w:abstractNum>
  <w:abstractNum w:abstractNumId="16" w15:restartNumberingAfterBreak="0">
    <w:nsid w:val="48C91C87"/>
    <w:multiLevelType w:val="hybridMultilevel"/>
    <w:tmpl w:val="74CACAE6"/>
    <w:lvl w:ilvl="0" w:tplc="040C0001">
      <w:start w:val="1"/>
      <w:numFmt w:val="bullet"/>
      <w:lvlText w:val=""/>
      <w:lvlJc w:val="left"/>
      <w:pPr>
        <w:ind w:left="720" w:hanging="360"/>
      </w:pPr>
      <w:rPr>
        <w:rFonts w:ascii="Symbol" w:hAnsi="Symbol" w:hint="default"/>
      </w:rPr>
    </w:lvl>
    <w:lvl w:ilvl="1" w:tplc="83B8A4AC">
      <w:numFmt w:val="bullet"/>
      <w:lvlText w:val="•"/>
      <w:lvlJc w:val="left"/>
      <w:pPr>
        <w:ind w:left="1440" w:hanging="360"/>
      </w:pPr>
      <w:rPr>
        <w:rFonts w:ascii="Verdana" w:eastAsia="SimSun" w:hAnsi="Verdana"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8D00814"/>
    <w:multiLevelType w:val="multilevel"/>
    <w:tmpl w:val="434E7254"/>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4E93145E"/>
    <w:multiLevelType w:val="multilevel"/>
    <w:tmpl w:val="425E9686"/>
    <w:styleLink w:val="WWNum17"/>
    <w:lvl w:ilvl="0">
      <w:numFmt w:val="bullet"/>
      <w:lvlText w:val=""/>
      <w:lvlJc w:val="left"/>
      <w:pPr>
        <w:ind w:left="2136" w:hanging="360"/>
      </w:pPr>
    </w:lvl>
    <w:lvl w:ilvl="1">
      <w:numFmt w:val="bullet"/>
      <w:lvlText w:val="o"/>
      <w:lvlJc w:val="left"/>
      <w:pPr>
        <w:ind w:left="2856" w:hanging="360"/>
      </w:pPr>
      <w:rPr>
        <w:rFonts w:cs="Courier New"/>
      </w:rPr>
    </w:lvl>
    <w:lvl w:ilvl="2">
      <w:numFmt w:val="bullet"/>
      <w:lvlText w:val=""/>
      <w:lvlJc w:val="left"/>
      <w:pPr>
        <w:ind w:left="3576" w:hanging="360"/>
      </w:pPr>
    </w:lvl>
    <w:lvl w:ilvl="3">
      <w:numFmt w:val="bullet"/>
      <w:lvlText w:val=""/>
      <w:lvlJc w:val="left"/>
      <w:pPr>
        <w:ind w:left="4296" w:hanging="360"/>
      </w:pPr>
    </w:lvl>
    <w:lvl w:ilvl="4">
      <w:numFmt w:val="bullet"/>
      <w:lvlText w:val="o"/>
      <w:lvlJc w:val="left"/>
      <w:pPr>
        <w:ind w:left="5016" w:hanging="360"/>
      </w:pPr>
      <w:rPr>
        <w:rFonts w:cs="Courier New"/>
      </w:rPr>
    </w:lvl>
    <w:lvl w:ilvl="5">
      <w:numFmt w:val="bullet"/>
      <w:lvlText w:val=""/>
      <w:lvlJc w:val="left"/>
      <w:pPr>
        <w:ind w:left="5736" w:hanging="360"/>
      </w:pPr>
    </w:lvl>
    <w:lvl w:ilvl="6">
      <w:numFmt w:val="bullet"/>
      <w:lvlText w:val=""/>
      <w:lvlJc w:val="left"/>
      <w:pPr>
        <w:ind w:left="6456" w:hanging="360"/>
      </w:pPr>
    </w:lvl>
    <w:lvl w:ilvl="7">
      <w:numFmt w:val="bullet"/>
      <w:lvlText w:val="o"/>
      <w:lvlJc w:val="left"/>
      <w:pPr>
        <w:ind w:left="7176" w:hanging="360"/>
      </w:pPr>
      <w:rPr>
        <w:rFonts w:cs="Courier New"/>
      </w:rPr>
    </w:lvl>
    <w:lvl w:ilvl="8">
      <w:numFmt w:val="bullet"/>
      <w:lvlText w:val=""/>
      <w:lvlJc w:val="left"/>
      <w:pPr>
        <w:ind w:left="7896" w:hanging="360"/>
      </w:pPr>
    </w:lvl>
  </w:abstractNum>
  <w:abstractNum w:abstractNumId="19" w15:restartNumberingAfterBreak="0">
    <w:nsid w:val="4F094D42"/>
    <w:multiLevelType w:val="multilevel"/>
    <w:tmpl w:val="6A26AD02"/>
    <w:styleLink w:val="WWNum14"/>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0" w15:restartNumberingAfterBreak="0">
    <w:nsid w:val="4F9C5F7D"/>
    <w:multiLevelType w:val="multilevel"/>
    <w:tmpl w:val="34C2823C"/>
    <w:styleLink w:val="WWNum3"/>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1" w15:restartNumberingAfterBreak="0">
    <w:nsid w:val="517D7C09"/>
    <w:multiLevelType w:val="hybridMultilevel"/>
    <w:tmpl w:val="C5F6034A"/>
    <w:lvl w:ilvl="0" w:tplc="040C0001">
      <w:start w:val="1"/>
      <w:numFmt w:val="bullet"/>
      <w:lvlText w:val=""/>
      <w:lvlJc w:val="left"/>
      <w:pPr>
        <w:ind w:left="360" w:hanging="360"/>
      </w:pPr>
      <w:rPr>
        <w:rFonts w:ascii="Symbol" w:hAnsi="Symbol" w:hint="default"/>
      </w:rPr>
    </w:lvl>
    <w:lvl w:ilvl="1" w:tplc="C3F07098">
      <w:numFmt w:val="bullet"/>
      <w:lvlText w:val="-"/>
      <w:lvlJc w:val="left"/>
      <w:pPr>
        <w:ind w:left="1440" w:hanging="360"/>
      </w:pPr>
      <w:rPr>
        <w:rFonts w:ascii="Verdana" w:eastAsia="SimSun" w:hAnsi="Verdana"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9621A8"/>
    <w:multiLevelType w:val="multilevel"/>
    <w:tmpl w:val="A9AE1F8E"/>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538430EF"/>
    <w:multiLevelType w:val="multilevel"/>
    <w:tmpl w:val="F3C8D51C"/>
    <w:styleLink w:val="WWNum4"/>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4" w15:restartNumberingAfterBreak="0">
    <w:nsid w:val="55026D67"/>
    <w:multiLevelType w:val="hybridMultilevel"/>
    <w:tmpl w:val="C41E6E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CD566D"/>
    <w:multiLevelType w:val="multilevel"/>
    <w:tmpl w:val="99388C5E"/>
    <w:styleLink w:val="WWNum15"/>
    <w:lvl w:ilvl="0">
      <w:numFmt w:val="bullet"/>
      <w:lvlText w:val="o"/>
      <w:lvlJc w:val="left"/>
      <w:pPr>
        <w:ind w:left="720" w:hanging="360"/>
      </w:pPr>
      <w:rPr>
        <w:rFonts w:cs="Courier New"/>
      </w:rPr>
    </w:lvl>
    <w:lvl w:ilvl="1">
      <w:numFmt w:val="bullet"/>
      <w:lvlText w:val=""/>
      <w:lvlJc w:val="left"/>
      <w:pPr>
        <w:ind w:left="72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6" w15:restartNumberingAfterBreak="0">
    <w:nsid w:val="67667C22"/>
    <w:multiLevelType w:val="hybridMultilevel"/>
    <w:tmpl w:val="E698F6BE"/>
    <w:lvl w:ilvl="0" w:tplc="0D6E775E">
      <w:numFmt w:val="bullet"/>
      <w:lvlText w:val="-"/>
      <w:lvlJc w:val="left"/>
      <w:pPr>
        <w:ind w:left="786" w:hanging="360"/>
      </w:pPr>
      <w:rPr>
        <w:rFonts w:ascii="Verdana" w:eastAsia="SimSun" w:hAnsi="Verdana" w:cs="Tahoma"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7" w15:restartNumberingAfterBreak="0">
    <w:nsid w:val="6BF43CF9"/>
    <w:multiLevelType w:val="multilevel"/>
    <w:tmpl w:val="A18E6B08"/>
    <w:styleLink w:val="WWNum13"/>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8" w15:restartNumberingAfterBreak="0">
    <w:nsid w:val="76FB5146"/>
    <w:multiLevelType w:val="hybridMultilevel"/>
    <w:tmpl w:val="7F08F0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949295D"/>
    <w:multiLevelType w:val="multilevel"/>
    <w:tmpl w:val="43347900"/>
    <w:styleLink w:val="WWNum20"/>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0" w15:restartNumberingAfterBreak="0">
    <w:nsid w:val="7B6516F9"/>
    <w:multiLevelType w:val="multilevel"/>
    <w:tmpl w:val="FF3A1108"/>
    <w:styleLink w:val="WWNum18"/>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num w:numId="1" w16cid:durableId="1792213096">
    <w:abstractNumId w:val="2"/>
  </w:num>
  <w:num w:numId="2" w16cid:durableId="288167584">
    <w:abstractNumId w:val="17"/>
  </w:num>
  <w:num w:numId="3" w16cid:durableId="1887525626">
    <w:abstractNumId w:val="20"/>
  </w:num>
  <w:num w:numId="4" w16cid:durableId="1921258185">
    <w:abstractNumId w:val="23"/>
  </w:num>
  <w:num w:numId="5" w16cid:durableId="928199740">
    <w:abstractNumId w:val="6"/>
  </w:num>
  <w:num w:numId="6" w16cid:durableId="1378630659">
    <w:abstractNumId w:val="11"/>
  </w:num>
  <w:num w:numId="7" w16cid:durableId="162474830">
    <w:abstractNumId w:val="15"/>
  </w:num>
  <w:num w:numId="8" w16cid:durableId="187984696">
    <w:abstractNumId w:val="0"/>
  </w:num>
  <w:num w:numId="9" w16cid:durableId="1697463600">
    <w:abstractNumId w:val="4"/>
  </w:num>
  <w:num w:numId="10" w16cid:durableId="1171407694">
    <w:abstractNumId w:val="1"/>
  </w:num>
  <w:num w:numId="11" w16cid:durableId="322780596">
    <w:abstractNumId w:val="13"/>
  </w:num>
  <w:num w:numId="12" w16cid:durableId="440539610">
    <w:abstractNumId w:val="8"/>
  </w:num>
  <w:num w:numId="13" w16cid:durableId="259653649">
    <w:abstractNumId w:val="27"/>
  </w:num>
  <w:num w:numId="14" w16cid:durableId="319191530">
    <w:abstractNumId w:val="19"/>
  </w:num>
  <w:num w:numId="15" w16cid:durableId="1450514696">
    <w:abstractNumId w:val="25"/>
  </w:num>
  <w:num w:numId="16" w16cid:durableId="1332564133">
    <w:abstractNumId w:val="9"/>
  </w:num>
  <w:num w:numId="17" w16cid:durableId="476920941">
    <w:abstractNumId w:val="18"/>
  </w:num>
  <w:num w:numId="18" w16cid:durableId="1409377248">
    <w:abstractNumId w:val="30"/>
  </w:num>
  <w:num w:numId="19" w16cid:durableId="922762734">
    <w:abstractNumId w:val="22"/>
  </w:num>
  <w:num w:numId="20" w16cid:durableId="20401911">
    <w:abstractNumId w:val="29"/>
  </w:num>
  <w:num w:numId="21" w16cid:durableId="438186129">
    <w:abstractNumId w:val="14"/>
  </w:num>
  <w:num w:numId="22" w16cid:durableId="1065176202">
    <w:abstractNumId w:val="21"/>
  </w:num>
  <w:num w:numId="23" w16cid:durableId="1035273521">
    <w:abstractNumId w:val="3"/>
  </w:num>
  <w:num w:numId="24" w16cid:durableId="1918129981">
    <w:abstractNumId w:val="12"/>
  </w:num>
  <w:num w:numId="25" w16cid:durableId="338391272">
    <w:abstractNumId w:val="24"/>
  </w:num>
  <w:num w:numId="26" w16cid:durableId="1631663067">
    <w:abstractNumId w:val="26"/>
  </w:num>
  <w:num w:numId="27" w16cid:durableId="836460600">
    <w:abstractNumId w:val="5"/>
  </w:num>
  <w:num w:numId="28" w16cid:durableId="1573082278">
    <w:abstractNumId w:val="10"/>
  </w:num>
  <w:num w:numId="29" w16cid:durableId="568154000">
    <w:abstractNumId w:val="28"/>
  </w:num>
  <w:num w:numId="30" w16cid:durableId="808976555">
    <w:abstractNumId w:val="16"/>
  </w:num>
  <w:num w:numId="31" w16cid:durableId="2987312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10D"/>
    <w:rsid w:val="00002703"/>
    <w:rsid w:val="00007E80"/>
    <w:rsid w:val="00075E97"/>
    <w:rsid w:val="000810B0"/>
    <w:rsid w:val="00085A92"/>
    <w:rsid w:val="000E6BE2"/>
    <w:rsid w:val="0010275A"/>
    <w:rsid w:val="00103874"/>
    <w:rsid w:val="00147A37"/>
    <w:rsid w:val="00154703"/>
    <w:rsid w:val="00155A54"/>
    <w:rsid w:val="00162E42"/>
    <w:rsid w:val="00170E67"/>
    <w:rsid w:val="0017390B"/>
    <w:rsid w:val="001A3FEE"/>
    <w:rsid w:val="001B2C72"/>
    <w:rsid w:val="001B4183"/>
    <w:rsid w:val="001B4DBE"/>
    <w:rsid w:val="00227548"/>
    <w:rsid w:val="002277FE"/>
    <w:rsid w:val="00237A70"/>
    <w:rsid w:val="002B4054"/>
    <w:rsid w:val="002D7A07"/>
    <w:rsid w:val="002E4D2D"/>
    <w:rsid w:val="00377561"/>
    <w:rsid w:val="004061D9"/>
    <w:rsid w:val="00411AAC"/>
    <w:rsid w:val="00422EBA"/>
    <w:rsid w:val="00457D42"/>
    <w:rsid w:val="00461138"/>
    <w:rsid w:val="00465AC7"/>
    <w:rsid w:val="00467378"/>
    <w:rsid w:val="00471856"/>
    <w:rsid w:val="00477726"/>
    <w:rsid w:val="004A3348"/>
    <w:rsid w:val="004A6CD5"/>
    <w:rsid w:val="004F438E"/>
    <w:rsid w:val="004F4B4B"/>
    <w:rsid w:val="00502966"/>
    <w:rsid w:val="005126B4"/>
    <w:rsid w:val="005313C0"/>
    <w:rsid w:val="0054010D"/>
    <w:rsid w:val="005427D0"/>
    <w:rsid w:val="00562D4D"/>
    <w:rsid w:val="00585705"/>
    <w:rsid w:val="005A2F42"/>
    <w:rsid w:val="005C74F6"/>
    <w:rsid w:val="005E2A6B"/>
    <w:rsid w:val="005F54D5"/>
    <w:rsid w:val="005F7936"/>
    <w:rsid w:val="00606772"/>
    <w:rsid w:val="006206F4"/>
    <w:rsid w:val="00627E61"/>
    <w:rsid w:val="00631E4D"/>
    <w:rsid w:val="0065273F"/>
    <w:rsid w:val="006E21C3"/>
    <w:rsid w:val="006E48CE"/>
    <w:rsid w:val="006E503E"/>
    <w:rsid w:val="00711A09"/>
    <w:rsid w:val="0076223A"/>
    <w:rsid w:val="007930F3"/>
    <w:rsid w:val="007B5DCA"/>
    <w:rsid w:val="008233EA"/>
    <w:rsid w:val="00832A02"/>
    <w:rsid w:val="00850429"/>
    <w:rsid w:val="00873415"/>
    <w:rsid w:val="008A5B13"/>
    <w:rsid w:val="008C0272"/>
    <w:rsid w:val="008E7163"/>
    <w:rsid w:val="00903595"/>
    <w:rsid w:val="00915DC6"/>
    <w:rsid w:val="00943FF1"/>
    <w:rsid w:val="009B0DDE"/>
    <w:rsid w:val="009E4EAC"/>
    <w:rsid w:val="00A1461B"/>
    <w:rsid w:val="00A31F8C"/>
    <w:rsid w:val="00A74093"/>
    <w:rsid w:val="00A7719F"/>
    <w:rsid w:val="00A9439C"/>
    <w:rsid w:val="00AC141A"/>
    <w:rsid w:val="00AC3AE0"/>
    <w:rsid w:val="00B50CA5"/>
    <w:rsid w:val="00B66596"/>
    <w:rsid w:val="00B77BFB"/>
    <w:rsid w:val="00BC2785"/>
    <w:rsid w:val="00BD524B"/>
    <w:rsid w:val="00BE0504"/>
    <w:rsid w:val="00C1591A"/>
    <w:rsid w:val="00CD0576"/>
    <w:rsid w:val="00CF169E"/>
    <w:rsid w:val="00D428EE"/>
    <w:rsid w:val="00D57C76"/>
    <w:rsid w:val="00DB3514"/>
    <w:rsid w:val="00DD0F3B"/>
    <w:rsid w:val="00E15EFD"/>
    <w:rsid w:val="00E5512B"/>
    <w:rsid w:val="00E56D85"/>
    <w:rsid w:val="00E802C3"/>
    <w:rsid w:val="00EA7A84"/>
    <w:rsid w:val="00ED559F"/>
    <w:rsid w:val="00ED7A54"/>
    <w:rsid w:val="00EF2B5D"/>
    <w:rsid w:val="00F52D68"/>
    <w:rsid w:val="00FB555C"/>
    <w:rsid w:val="00FF6D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BCE63"/>
  <w15:docId w15:val="{DAFEA9C2-0333-4E55-BDEE-C62C2C86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fr-FR" w:eastAsia="en-US" w:bidi="ar-SA"/>
      </w:rPr>
    </w:rPrDefault>
    <w:pPrDefault>
      <w:pPr>
        <w:widowControl w:val="0"/>
        <w:suppressAutoHyphens/>
        <w:autoSpaceDN w:val="0"/>
        <w:spacing w:after="10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Paragraphedeliste">
    <w:name w:val="List Paragraph"/>
    <w:basedOn w:val="Standard"/>
    <w:pPr>
      <w:ind w:left="720"/>
    </w:pPr>
  </w:style>
  <w:style w:type="paragraph" w:styleId="En-tte">
    <w:name w:val="header"/>
    <w:basedOn w:val="Standard"/>
    <w:pPr>
      <w:suppressLineNumbers/>
      <w:tabs>
        <w:tab w:val="center" w:pos="4536"/>
        <w:tab w:val="right" w:pos="9072"/>
      </w:tabs>
      <w:spacing w:after="0"/>
    </w:pPr>
  </w:style>
  <w:style w:type="paragraph" w:styleId="Pieddepage">
    <w:name w:val="footer"/>
    <w:basedOn w:val="Standard"/>
    <w:uiPriority w:val="99"/>
    <w:pPr>
      <w:suppressLineNumbers/>
      <w:tabs>
        <w:tab w:val="center" w:pos="4536"/>
        <w:tab w:val="right" w:pos="9072"/>
      </w:tabs>
      <w:spacing w:after="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StrongEmphasis">
    <w:name w:val="Strong Emphasis"/>
    <w:basedOn w:val="Policepardfaut"/>
    <w:rPr>
      <w:b/>
      <w:bCs/>
    </w:rPr>
  </w:style>
  <w:style w:type="character" w:customStyle="1" w:styleId="En-tteCar">
    <w:name w:val="En-tête Car"/>
    <w:basedOn w:val="Policepardfaut"/>
  </w:style>
  <w:style w:type="character" w:customStyle="1" w:styleId="PieddepageCar">
    <w:name w:val="Pied de page Car"/>
    <w:basedOn w:val="Policepardfaut"/>
    <w:uiPriority w:val="99"/>
  </w:style>
  <w:style w:type="character" w:customStyle="1" w:styleId="jsgrdq">
    <w:name w:val="jsgrdq"/>
    <w:basedOn w:val="Policepardfaut"/>
  </w:style>
  <w:style w:type="character" w:customStyle="1" w:styleId="ListLabel1">
    <w:name w:val="ListLabel 1"/>
    <w:rPr>
      <w:rFonts w:cs="Courier New"/>
    </w:rPr>
  </w:style>
  <w:style w:type="character" w:customStyle="1" w:styleId="ListLabel2">
    <w:name w:val="ListLabel 2"/>
  </w:style>
  <w:style w:type="character" w:styleId="Accentuation">
    <w:name w:val="Emphasis"/>
    <w:rPr>
      <w:i/>
      <w:iCs/>
    </w:rPr>
  </w:style>
  <w:style w:type="character" w:customStyle="1" w:styleId="BulletSymbols">
    <w:name w:val="Bullet Symbols"/>
    <w:rPr>
      <w:rFonts w:ascii="OpenSymbol" w:eastAsia="OpenSymbol" w:hAnsi="OpenSymbol" w:cs="OpenSymbol"/>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 w:type="numbering" w:customStyle="1" w:styleId="WWNum13">
    <w:name w:val="WWNum13"/>
    <w:basedOn w:val="Aucuneliste"/>
    <w:pPr>
      <w:numPr>
        <w:numId w:val="13"/>
      </w:numPr>
    </w:pPr>
  </w:style>
  <w:style w:type="numbering" w:customStyle="1" w:styleId="WWNum14">
    <w:name w:val="WWNum14"/>
    <w:basedOn w:val="Aucuneliste"/>
    <w:pPr>
      <w:numPr>
        <w:numId w:val="14"/>
      </w:numPr>
    </w:pPr>
  </w:style>
  <w:style w:type="numbering" w:customStyle="1" w:styleId="WWNum15">
    <w:name w:val="WWNum15"/>
    <w:basedOn w:val="Aucuneliste"/>
    <w:pPr>
      <w:numPr>
        <w:numId w:val="15"/>
      </w:numPr>
    </w:pPr>
  </w:style>
  <w:style w:type="numbering" w:customStyle="1" w:styleId="WWNum16">
    <w:name w:val="WWNum16"/>
    <w:basedOn w:val="Aucuneliste"/>
    <w:pPr>
      <w:numPr>
        <w:numId w:val="16"/>
      </w:numPr>
    </w:pPr>
  </w:style>
  <w:style w:type="numbering" w:customStyle="1" w:styleId="WWNum17">
    <w:name w:val="WWNum17"/>
    <w:basedOn w:val="Aucuneliste"/>
    <w:pPr>
      <w:numPr>
        <w:numId w:val="17"/>
      </w:numPr>
    </w:pPr>
  </w:style>
  <w:style w:type="numbering" w:customStyle="1" w:styleId="WWNum18">
    <w:name w:val="WWNum18"/>
    <w:basedOn w:val="Aucuneliste"/>
    <w:pPr>
      <w:numPr>
        <w:numId w:val="18"/>
      </w:numPr>
    </w:pPr>
  </w:style>
  <w:style w:type="numbering" w:customStyle="1" w:styleId="WWNum19">
    <w:name w:val="WWNum19"/>
    <w:basedOn w:val="Aucuneliste"/>
    <w:pPr>
      <w:numPr>
        <w:numId w:val="19"/>
      </w:numPr>
    </w:pPr>
  </w:style>
  <w:style w:type="numbering" w:customStyle="1" w:styleId="WWNum20">
    <w:name w:val="WWNum20"/>
    <w:basedOn w:val="Aucuneliste"/>
    <w:pPr>
      <w:numPr>
        <w:numId w:val="20"/>
      </w:numPr>
    </w:pPr>
  </w:style>
  <w:style w:type="numbering" w:customStyle="1" w:styleId="WWNum21">
    <w:name w:val="WWNum21"/>
    <w:basedOn w:val="Aucuneliste"/>
    <w:pPr>
      <w:numPr>
        <w:numId w:val="21"/>
      </w:numPr>
    </w:pPr>
  </w:style>
  <w:style w:type="character" w:styleId="Lienhypertexte">
    <w:name w:val="Hyperlink"/>
    <w:basedOn w:val="Policepardfaut"/>
    <w:uiPriority w:val="99"/>
    <w:unhideWhenUsed/>
    <w:rsid w:val="004A3348"/>
    <w:rPr>
      <w:color w:val="0563C1" w:themeColor="hyperlink"/>
      <w:u w:val="single"/>
    </w:rPr>
  </w:style>
  <w:style w:type="character" w:styleId="Mentionnonrsolue">
    <w:name w:val="Unresolved Mention"/>
    <w:basedOn w:val="Policepardfaut"/>
    <w:uiPriority w:val="99"/>
    <w:semiHidden/>
    <w:unhideWhenUsed/>
    <w:rsid w:val="004A3348"/>
    <w:rPr>
      <w:color w:val="605E5C"/>
      <w:shd w:val="clear" w:color="auto" w:fill="E1DFDD"/>
    </w:rPr>
  </w:style>
  <w:style w:type="paragraph" w:styleId="Corpsdetexte">
    <w:name w:val="Body Text"/>
    <w:basedOn w:val="Normal"/>
    <w:link w:val="CorpsdetexteCar"/>
    <w:uiPriority w:val="1"/>
    <w:qFormat/>
    <w:rsid w:val="0065273F"/>
    <w:pPr>
      <w:suppressAutoHyphens w:val="0"/>
      <w:autoSpaceDE w:val="0"/>
      <w:spacing w:after="0"/>
      <w:textAlignment w:val="auto"/>
    </w:pPr>
    <w:rPr>
      <w:rFonts w:ascii="Verdana" w:eastAsia="Verdana" w:hAnsi="Verdana" w:cs="Verdana"/>
      <w:i/>
      <w:iCs/>
      <w:kern w:val="0"/>
      <w:sz w:val="24"/>
      <w:szCs w:val="24"/>
    </w:rPr>
  </w:style>
  <w:style w:type="character" w:customStyle="1" w:styleId="CorpsdetexteCar">
    <w:name w:val="Corps de texte Car"/>
    <w:basedOn w:val="Policepardfaut"/>
    <w:link w:val="Corpsdetexte"/>
    <w:uiPriority w:val="1"/>
    <w:rsid w:val="0065273F"/>
    <w:rPr>
      <w:rFonts w:ascii="Verdana" w:eastAsia="Verdana" w:hAnsi="Verdana" w:cs="Verdana"/>
      <w:i/>
      <w:i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912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2443</Words>
  <Characters>13438</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amelie cherbonneau</dc:creator>
  <cp:lastModifiedBy>Julie Alseda</cp:lastModifiedBy>
  <cp:revision>4</cp:revision>
  <dcterms:created xsi:type="dcterms:W3CDTF">2023-09-27T11:21:00Z</dcterms:created>
  <dcterms:modified xsi:type="dcterms:W3CDTF">2024-01-10T13:11:00Z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