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5292" w14:textId="1854A67A" w:rsidR="007A1DBC" w:rsidRDefault="00B65664">
      <w:pPr>
        <w:pStyle w:val="Standard"/>
        <w:ind w:right="57"/>
        <w:rPr>
          <w:rStyle w:val="jsgrdq"/>
          <w:rFonts w:ascii="Verdana" w:hAnsi="Verdana" w:cs="Tahoma"/>
          <w:color w:val="279097"/>
          <w:sz w:val="32"/>
          <w:szCs w:val="32"/>
          <w:lang w:eastAsia="en-US" w:bidi="ar-SA"/>
        </w:rPr>
      </w:pPr>
      <w:r>
        <w:rPr>
          <w:caps/>
          <w:noProof/>
          <w:color w:val="4472C4" w:themeColor="accent1"/>
        </w:rPr>
        <w:drawing>
          <wp:anchor distT="0" distB="0" distL="114300" distR="114300" simplePos="0" relativeHeight="251659264" behindDoc="0" locked="0" layoutInCell="1" allowOverlap="1" wp14:anchorId="19D1F68B" wp14:editId="1111E022">
            <wp:simplePos x="0" y="0"/>
            <wp:positionH relativeFrom="column">
              <wp:posOffset>1270</wp:posOffset>
            </wp:positionH>
            <wp:positionV relativeFrom="paragraph">
              <wp:posOffset>154305</wp:posOffset>
            </wp:positionV>
            <wp:extent cx="771525" cy="545805"/>
            <wp:effectExtent l="0" t="0" r="0" b="6985"/>
            <wp:wrapNone/>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45805"/>
                    </a:xfrm>
                    <a:prstGeom prst="rect">
                      <a:avLst/>
                    </a:prstGeom>
                  </pic:spPr>
                </pic:pic>
              </a:graphicData>
            </a:graphic>
            <wp14:sizeRelH relativeFrom="margin">
              <wp14:pctWidth>0</wp14:pctWidth>
            </wp14:sizeRelH>
            <wp14:sizeRelV relativeFrom="margin">
              <wp14:pctHeight>0</wp14:pctHeight>
            </wp14:sizeRelV>
          </wp:anchor>
        </w:drawing>
      </w:r>
      <w:r w:rsidR="007A1DBC">
        <w:rPr>
          <w:rStyle w:val="jsgrdq"/>
          <w:rFonts w:ascii="Verdana" w:hAnsi="Verdana" w:cs="Tahoma"/>
          <w:color w:val="279097"/>
          <w:sz w:val="32"/>
          <w:szCs w:val="32"/>
          <w:lang w:eastAsia="en-US" w:bidi="ar-SA"/>
        </w:rPr>
        <w:t xml:space="preserve">          </w:t>
      </w:r>
    </w:p>
    <w:p w14:paraId="7419464E" w14:textId="76CDC4F3" w:rsidR="00971CCF" w:rsidRPr="007A1DBC" w:rsidRDefault="007A1DBC" w:rsidP="007A1DBC">
      <w:pPr>
        <w:pStyle w:val="Standard"/>
        <w:ind w:right="57"/>
        <w:rPr>
          <w:rStyle w:val="jsgrdq"/>
          <w:rFonts w:cs="Tahoma"/>
          <w:color w:val="279097"/>
          <w:sz w:val="32"/>
          <w:szCs w:val="32"/>
          <w:lang w:eastAsia="en-US" w:bidi="ar-SA"/>
        </w:rPr>
      </w:pPr>
      <w:r>
        <w:rPr>
          <w:rStyle w:val="jsgrdq"/>
          <w:rFonts w:ascii="Verdana" w:hAnsi="Verdana" w:cs="Tahoma"/>
          <w:color w:val="279097"/>
          <w:sz w:val="32"/>
          <w:szCs w:val="32"/>
          <w:lang w:eastAsia="en-US" w:bidi="ar-SA"/>
        </w:rPr>
        <w:t xml:space="preserve">         </w:t>
      </w:r>
      <w:r w:rsidR="00B65664">
        <w:rPr>
          <w:rStyle w:val="jsgrdq"/>
          <w:rFonts w:ascii="Verdana" w:hAnsi="Verdana" w:cs="Tahoma"/>
          <w:color w:val="279097"/>
          <w:sz w:val="32"/>
          <w:szCs w:val="32"/>
          <w:lang w:eastAsia="en-US" w:bidi="ar-SA"/>
        </w:rPr>
        <w:tab/>
      </w:r>
      <w:r w:rsidRPr="007A1DBC">
        <w:rPr>
          <w:rStyle w:val="jsgrdq"/>
          <w:rFonts w:ascii="Verdana" w:hAnsi="Verdana" w:cs="Tahoma"/>
          <w:color w:val="279097"/>
          <w:sz w:val="32"/>
          <w:szCs w:val="32"/>
          <w:lang w:eastAsia="en-US" w:bidi="ar-SA"/>
        </w:rPr>
        <w:t xml:space="preserve">Cabinet du Dr                        </w:t>
      </w:r>
    </w:p>
    <w:p w14:paraId="263B5744" w14:textId="77777777" w:rsidR="00971CCF" w:rsidRPr="007A1DBC" w:rsidRDefault="00971CCF">
      <w:pPr>
        <w:pStyle w:val="Standard"/>
        <w:ind w:right="57"/>
        <w:jc w:val="center"/>
        <w:rPr>
          <w:rStyle w:val="jsgrdq"/>
          <w:rFonts w:ascii="Verdana" w:hAnsi="Verdana" w:cs="Tahoma"/>
          <w:color w:val="279097"/>
          <w:sz w:val="28"/>
          <w:szCs w:val="28"/>
          <w:lang w:eastAsia="en-US" w:bidi="ar-SA"/>
        </w:rPr>
      </w:pPr>
    </w:p>
    <w:p w14:paraId="34AB19C6" w14:textId="77777777" w:rsidR="00A679CB" w:rsidRPr="00807B6E" w:rsidRDefault="00A679CB" w:rsidP="00A679CB">
      <w:pPr>
        <w:pStyle w:val="Standard"/>
        <w:ind w:right="57"/>
        <w:jc w:val="center"/>
        <w:rPr>
          <w:rStyle w:val="jsgrdq"/>
          <w:rFonts w:ascii="Verdana" w:hAnsi="Verdana"/>
          <w:b/>
          <w:color w:val="008C98"/>
          <w:sz w:val="28"/>
          <w:szCs w:val="28"/>
        </w:rPr>
      </w:pPr>
      <w:r w:rsidRPr="00EB53D0">
        <w:rPr>
          <w:rStyle w:val="jsgrdq"/>
          <w:rFonts w:ascii="Verdana" w:hAnsi="Verdana"/>
          <w:color w:val="008C98"/>
        </w:rPr>
        <w:t>Affichage obligatoire Code du Travail</w:t>
      </w:r>
    </w:p>
    <w:p w14:paraId="72BF9FB0" w14:textId="77777777" w:rsidR="00D70064" w:rsidRPr="00D70064" w:rsidRDefault="00D70064">
      <w:pPr>
        <w:pStyle w:val="Standard"/>
        <w:ind w:right="57"/>
        <w:jc w:val="center"/>
        <w:rPr>
          <w:rStyle w:val="jsgrdq"/>
          <w:rFonts w:ascii="Verdana" w:hAnsi="Verdana" w:cs="Tahoma"/>
          <w:color w:val="279097"/>
          <w:sz w:val="18"/>
          <w:szCs w:val="18"/>
          <w:lang w:eastAsia="en-US" w:bidi="ar-SA"/>
        </w:rPr>
      </w:pPr>
    </w:p>
    <w:p w14:paraId="17E058ED" w14:textId="44E827C9" w:rsidR="00971CCF" w:rsidRPr="00A679CB" w:rsidRDefault="0013539B">
      <w:pPr>
        <w:pStyle w:val="Standard"/>
        <w:ind w:right="57"/>
        <w:jc w:val="center"/>
        <w:rPr>
          <w:rStyle w:val="jsgrdq"/>
          <w:rFonts w:ascii="Verdana" w:hAnsi="Verdana" w:cs="Tahoma"/>
          <w:color w:val="279097"/>
          <w:sz w:val="28"/>
          <w:szCs w:val="28"/>
          <w:lang w:eastAsia="en-US" w:bidi="ar-SA"/>
        </w:rPr>
      </w:pPr>
      <w:r w:rsidRPr="007A1DBC">
        <w:rPr>
          <w:rStyle w:val="jsgrdq"/>
          <w:rFonts w:ascii="Verdana" w:hAnsi="Verdana" w:cs="Tahoma"/>
          <w:color w:val="279097"/>
          <w:sz w:val="32"/>
          <w:szCs w:val="32"/>
          <w:lang w:eastAsia="en-US" w:bidi="ar-SA"/>
        </w:rPr>
        <w:t xml:space="preserve">  </w:t>
      </w:r>
      <w:r w:rsidR="007A1DBC" w:rsidRPr="00A679CB">
        <w:rPr>
          <w:rStyle w:val="jsgrdq"/>
          <w:rFonts w:ascii="Verdana" w:hAnsi="Verdana" w:cs="Tahoma"/>
          <w:color w:val="279097"/>
          <w:sz w:val="28"/>
          <w:szCs w:val="28"/>
          <w:lang w:eastAsia="en-US" w:bidi="ar-SA"/>
        </w:rPr>
        <w:t xml:space="preserve">Egalité de rémunération entre les </w:t>
      </w:r>
      <w:r w:rsidR="00D70064" w:rsidRPr="00A679CB">
        <w:rPr>
          <w:rStyle w:val="jsgrdq"/>
          <w:rFonts w:ascii="Verdana" w:hAnsi="Verdana" w:cs="Tahoma"/>
          <w:color w:val="279097"/>
          <w:sz w:val="28"/>
          <w:szCs w:val="28"/>
          <w:lang w:eastAsia="en-US" w:bidi="ar-SA"/>
        </w:rPr>
        <w:t>F</w:t>
      </w:r>
      <w:r w:rsidR="007A1DBC" w:rsidRPr="00A679CB">
        <w:rPr>
          <w:rStyle w:val="jsgrdq"/>
          <w:rFonts w:ascii="Verdana" w:hAnsi="Verdana" w:cs="Tahoma"/>
          <w:color w:val="279097"/>
          <w:sz w:val="28"/>
          <w:szCs w:val="28"/>
          <w:lang w:eastAsia="en-US" w:bidi="ar-SA"/>
        </w:rPr>
        <w:t xml:space="preserve">emmes et les </w:t>
      </w:r>
      <w:r w:rsidR="00D70064" w:rsidRPr="00A679CB">
        <w:rPr>
          <w:rStyle w:val="jsgrdq"/>
          <w:rFonts w:ascii="Verdana" w:hAnsi="Verdana" w:cs="Tahoma"/>
          <w:color w:val="279097"/>
          <w:sz w:val="28"/>
          <w:szCs w:val="28"/>
          <w:lang w:eastAsia="en-US" w:bidi="ar-SA"/>
        </w:rPr>
        <w:t>H</w:t>
      </w:r>
      <w:r w:rsidR="007A1DBC" w:rsidRPr="00A679CB">
        <w:rPr>
          <w:rStyle w:val="jsgrdq"/>
          <w:rFonts w:ascii="Verdana" w:hAnsi="Verdana" w:cs="Tahoma"/>
          <w:color w:val="279097"/>
          <w:sz w:val="28"/>
          <w:szCs w:val="28"/>
          <w:lang w:eastAsia="en-US" w:bidi="ar-SA"/>
        </w:rPr>
        <w:t>ommes</w:t>
      </w:r>
    </w:p>
    <w:p w14:paraId="14C0308D" w14:textId="77777777" w:rsidR="00971CCF" w:rsidRPr="007A1DBC" w:rsidRDefault="00971CCF">
      <w:pPr>
        <w:pStyle w:val="Standard"/>
        <w:ind w:right="57"/>
        <w:jc w:val="center"/>
        <w:rPr>
          <w:rStyle w:val="jsgrdq"/>
          <w:rFonts w:ascii="Verdana" w:hAnsi="Verdana" w:cs="Tahoma"/>
          <w:color w:val="279097"/>
          <w:sz w:val="32"/>
          <w:szCs w:val="32"/>
          <w:lang w:eastAsia="en-US" w:bidi="ar-SA"/>
        </w:rPr>
      </w:pPr>
    </w:p>
    <w:p w14:paraId="0C5639C1" w14:textId="77777777"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 xml:space="preserve">Article L3221-1 </w:t>
      </w:r>
      <w:r w:rsidRPr="007A1DBC">
        <w:rPr>
          <w:rFonts w:ascii="Verdana" w:eastAsia="Tahoma" w:hAnsi="Verdana" w:cs="Tahoma"/>
          <w:color w:val="5F5F5E"/>
          <w:sz w:val="18"/>
          <w:szCs w:val="18"/>
          <w:lang w:eastAsia="en-US" w:bidi="ar-SA"/>
        </w:rPr>
        <w:t>- Les dispositions des articles L. 3221-2 à L. 3221-7 sont applicables, outre aux employeurs et salariés mentionnés à l'article L. 3211-1, à ceux non régis par le code du travail et, notamment, aux agents de droit public.</w:t>
      </w:r>
    </w:p>
    <w:p w14:paraId="62F2497F"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72F5081C" w14:textId="77777777" w:rsidR="007A1DBC"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L3221-2</w:t>
      </w:r>
      <w:r w:rsidRPr="007A1DBC">
        <w:rPr>
          <w:rFonts w:ascii="Verdana" w:eastAsia="Tahoma" w:hAnsi="Verdana" w:cs="Tahoma"/>
          <w:color w:val="5F5F5E"/>
          <w:sz w:val="18"/>
          <w:szCs w:val="18"/>
          <w:lang w:eastAsia="en-US" w:bidi="ar-SA"/>
        </w:rPr>
        <w:t xml:space="preserve"> - Tout employeur assure, pour un même travail ou pour un travail de valeur égale, l'égalité de rémunération entre les femmes et les hommes.</w:t>
      </w:r>
    </w:p>
    <w:p w14:paraId="1F314547" w14:textId="77777777" w:rsidR="007A1DBC" w:rsidRPr="007A1DBC" w:rsidRDefault="007A1DBC" w:rsidP="00D70064">
      <w:pPr>
        <w:pStyle w:val="Standard"/>
        <w:ind w:right="57"/>
        <w:jc w:val="both"/>
        <w:rPr>
          <w:rFonts w:ascii="Verdana" w:eastAsia="Tahoma" w:hAnsi="Verdana" w:cs="Tahoma"/>
          <w:color w:val="5F5F5E"/>
          <w:sz w:val="18"/>
          <w:szCs w:val="18"/>
          <w:lang w:eastAsia="en-US" w:bidi="ar-SA"/>
        </w:rPr>
      </w:pPr>
    </w:p>
    <w:p w14:paraId="03FA89AC" w14:textId="403B6ECA"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L3221-3</w:t>
      </w:r>
      <w:r w:rsidRPr="007A1DBC">
        <w:rPr>
          <w:rFonts w:ascii="Verdana" w:eastAsia="Tahoma" w:hAnsi="Verdana" w:cs="Tahoma"/>
          <w:color w:val="5F5F5E"/>
          <w:sz w:val="18"/>
          <w:szCs w:val="18"/>
          <w:lang w:eastAsia="en-US" w:bidi="ar-SA"/>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3D803A9D"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3EDD588A" w14:textId="77777777" w:rsidR="007A1DBC"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L3221-</w:t>
      </w:r>
      <w:r w:rsidRPr="007A1DBC">
        <w:rPr>
          <w:rFonts w:ascii="Verdana" w:eastAsia="Tahoma" w:hAnsi="Verdana" w:cs="Tahoma"/>
          <w:color w:val="5F5F5E"/>
          <w:sz w:val="18"/>
          <w:szCs w:val="18"/>
          <w:lang w:eastAsia="en-US" w:bidi="ar-SA"/>
        </w:rPr>
        <w:t xml:space="preserve">4 -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 </w:t>
      </w:r>
    </w:p>
    <w:p w14:paraId="5B916322" w14:textId="77777777" w:rsidR="007A1DBC" w:rsidRPr="007A1DBC" w:rsidRDefault="007A1DBC" w:rsidP="00D70064">
      <w:pPr>
        <w:pStyle w:val="Standard"/>
        <w:ind w:right="57"/>
        <w:jc w:val="both"/>
        <w:rPr>
          <w:rFonts w:ascii="Verdana" w:eastAsia="Tahoma" w:hAnsi="Verdana" w:cs="Tahoma"/>
          <w:color w:val="5F5F5E"/>
          <w:sz w:val="18"/>
          <w:szCs w:val="18"/>
          <w:lang w:eastAsia="en-US" w:bidi="ar-SA"/>
        </w:rPr>
      </w:pPr>
    </w:p>
    <w:p w14:paraId="7B557C89" w14:textId="4C9A6E97"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L3221-5</w:t>
      </w:r>
      <w:r w:rsidRPr="007A1DBC">
        <w:rPr>
          <w:rFonts w:ascii="Verdana" w:eastAsia="Tahoma" w:hAnsi="Verdana" w:cs="Tahoma"/>
          <w:color w:val="5F5F5E"/>
          <w:sz w:val="18"/>
          <w:szCs w:val="18"/>
          <w:lang w:eastAsia="en-US" w:bidi="ar-SA"/>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19979C5E"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68567AB8" w14:textId="77777777"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color w:val="5F5F5E"/>
          <w:sz w:val="18"/>
          <w:szCs w:val="18"/>
          <w:lang w:eastAsia="en-US" w:bidi="ar-SA"/>
        </w:rPr>
        <w:t>Article L3221-6 - Les différents éléments composant la rémunération sont établis selon des normes identiques pour les femmes et pour les hommes. Les catégories et les critères de classification et de promotion professionnelles ainsi que toutes les autres bases de calcul de la rémunération, notamment les modes d'évaluation des emplois, sont établis selon des règles qui assurent l'application du principe fixé à l'article L. 3221-2.</w:t>
      </w:r>
    </w:p>
    <w:p w14:paraId="58AEC400"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43A22810" w14:textId="77777777"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L3221-7</w:t>
      </w:r>
      <w:r w:rsidRPr="007A1DBC">
        <w:rPr>
          <w:rFonts w:ascii="Verdana" w:eastAsia="Tahoma" w:hAnsi="Verdana" w:cs="Tahoma"/>
          <w:color w:val="5F5F5E"/>
          <w:sz w:val="18"/>
          <w:szCs w:val="18"/>
          <w:lang w:eastAsia="en-US" w:bidi="ar-SA"/>
        </w:rPr>
        <w:t xml:space="preserve"> -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p>
    <w:p w14:paraId="3EE7D583"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5EF6EB6A" w14:textId="77777777"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R3221-1</w:t>
      </w:r>
      <w:r w:rsidRPr="007A1DBC">
        <w:rPr>
          <w:rFonts w:ascii="Verdana" w:eastAsia="Tahoma" w:hAnsi="Verdana" w:cs="Tahoma"/>
          <w:color w:val="5F5F5E"/>
          <w:sz w:val="18"/>
          <w:szCs w:val="18"/>
          <w:lang w:eastAsia="en-US" w:bidi="ar-SA"/>
        </w:rPr>
        <w:t xml:space="preserve"> - L'inspecteur du travail peut exiger communication des différents éléments qui concourent à la détermination des rémunérations dans l'entreprise, notamment des normes, catégories, critères et bases de calcul mentionnés à l'article L. 3221-6. Il peut procéder à une enquête contradictoire au cours de laquelle l'employeur et les salariés intéressés peuvent se faire assister d'une personne de leur choix. En cas de mise en œuvre d'une procédure de règlement des difficultés dans les conditions prévues à l'article R. 2261-1, il prend connaissance des avis et observations formulés au cours de celle-ci.</w:t>
      </w:r>
    </w:p>
    <w:p w14:paraId="41B21FC5"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69798F5F" w14:textId="77777777" w:rsidR="00971CCF" w:rsidRPr="007A1DBC" w:rsidRDefault="0013539B" w:rsidP="00D70064">
      <w:pPr>
        <w:pStyle w:val="Standard"/>
        <w:ind w:right="57"/>
        <w:jc w:val="both"/>
        <w:rPr>
          <w:rFonts w:ascii="Verdana" w:eastAsia="Tahoma" w:hAnsi="Verdana" w:cs="Tahoma"/>
          <w:color w:val="5F5F5E"/>
          <w:sz w:val="18"/>
          <w:szCs w:val="18"/>
          <w:lang w:eastAsia="en-US" w:bidi="ar-SA"/>
        </w:rPr>
      </w:pPr>
      <w:r w:rsidRPr="007A1DBC">
        <w:rPr>
          <w:rFonts w:ascii="Verdana" w:eastAsia="Tahoma" w:hAnsi="Verdana" w:cs="Tahoma"/>
          <w:b/>
          <w:bCs/>
          <w:color w:val="5F5F5E"/>
          <w:sz w:val="18"/>
          <w:szCs w:val="18"/>
          <w:lang w:eastAsia="en-US" w:bidi="ar-SA"/>
        </w:rPr>
        <w:t>Article R3221-2</w:t>
      </w:r>
      <w:r w:rsidRPr="007A1DBC">
        <w:rPr>
          <w:rFonts w:ascii="Verdana" w:eastAsia="Tahoma" w:hAnsi="Verdana" w:cs="Tahoma"/>
          <w:color w:val="5F5F5E"/>
          <w:sz w:val="18"/>
          <w:szCs w:val="18"/>
          <w:lang w:eastAsia="en-US" w:bidi="ar-SA"/>
        </w:rPr>
        <w:t xml:space="preserve"> - Les dispositions des articles L. 3221-1 à L. 3221-7 du code du travail sont portées, par tout moyen, à la connaissance des personnes ayant accès aux lieux de travail, ainsi qu'aux candidats à l'embauche. Il en est de même pour les dispositions réglementaires pris pour l'application de ces articles.</w:t>
      </w:r>
    </w:p>
    <w:p w14:paraId="777E224C" w14:textId="77777777" w:rsidR="00971CCF" w:rsidRPr="007A1DBC" w:rsidRDefault="00971CCF" w:rsidP="00D70064">
      <w:pPr>
        <w:pStyle w:val="Standard"/>
        <w:ind w:right="57"/>
        <w:jc w:val="both"/>
        <w:rPr>
          <w:rFonts w:ascii="Verdana" w:eastAsia="Tahoma" w:hAnsi="Verdana" w:cs="Tahoma"/>
          <w:color w:val="5F5F5E"/>
          <w:sz w:val="18"/>
          <w:szCs w:val="18"/>
          <w:lang w:eastAsia="en-US" w:bidi="ar-SA"/>
        </w:rPr>
      </w:pPr>
    </w:p>
    <w:p w14:paraId="39BBB6F1" w14:textId="75B6367F" w:rsidR="00971CCF" w:rsidRPr="007A1DBC" w:rsidRDefault="0013539B" w:rsidP="00D70064">
      <w:pPr>
        <w:pStyle w:val="Standard"/>
        <w:ind w:right="57"/>
        <w:jc w:val="both"/>
        <w:rPr>
          <w:rFonts w:ascii="Verdana" w:hAnsi="Verdana"/>
          <w:sz w:val="18"/>
          <w:szCs w:val="18"/>
        </w:rPr>
      </w:pPr>
      <w:r w:rsidRPr="007A1DBC">
        <w:rPr>
          <w:rFonts w:ascii="Verdana" w:eastAsia="Tahoma" w:hAnsi="Verdana" w:cs="Tahoma"/>
          <w:b/>
          <w:bCs/>
          <w:color w:val="5F5F5E"/>
          <w:sz w:val="18"/>
          <w:szCs w:val="18"/>
          <w:lang w:eastAsia="en-US" w:bidi="ar-SA"/>
        </w:rPr>
        <w:t>Article R3222-1</w:t>
      </w:r>
      <w:r w:rsidRPr="007A1DBC">
        <w:rPr>
          <w:rFonts w:ascii="Verdana" w:eastAsia="Tahoma" w:hAnsi="Verdana" w:cs="Tahoma"/>
          <w:color w:val="5F5F5E"/>
          <w:sz w:val="18"/>
          <w:szCs w:val="18"/>
          <w:lang w:eastAsia="en-US" w:bidi="ar-SA"/>
        </w:rPr>
        <w:t xml:space="preserve"> - Le fait de méconnaître les dispositions relatives à l'égalité de rémunération entre les femmes et les hommes prévues aux articles L. 3221-2 à L. 3221-6, est puni de l'amende prévue pour les contraventions de la cinquième classe. L'amende est appliquée autant de fois qu'il y a de travailleurs rémunérés dans des conditions illégales. La récidive est réprimée conformément aux articles 132-11 et 132-15 du code pénal. Article R. 3222-3 - Le fait de ne pas communiquer, dans les conditions prévues par l'article R. 3221-2, les articles relatifs à l'égalité de rémunération entre les femmes et les hommes, est puni de l'amende prévue pour les contraventions de la troisième classe.</w:t>
      </w:r>
    </w:p>
    <w:p w14:paraId="731BDCD6" w14:textId="77777777" w:rsidR="00971CCF" w:rsidRPr="007A1DBC" w:rsidRDefault="00971CCF">
      <w:pPr>
        <w:pStyle w:val="Standard"/>
        <w:ind w:right="57"/>
        <w:rPr>
          <w:rFonts w:ascii="Verdana" w:hAnsi="Verdana"/>
          <w:sz w:val="18"/>
          <w:szCs w:val="18"/>
        </w:rPr>
      </w:pPr>
    </w:p>
    <w:p w14:paraId="0EF3EA2B" w14:textId="312590B2" w:rsidR="00971CCF" w:rsidRDefault="0013539B">
      <w:pPr>
        <w:pStyle w:val="Standard"/>
        <w:ind w:right="57"/>
      </w:pP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t xml:space="preserve">Affichage égalité de rémunération entre Femmes et </w:t>
      </w:r>
      <w:r w:rsidR="00FF2C95">
        <w:rPr>
          <w:rStyle w:val="jsgrdq"/>
          <w:rFonts w:ascii="Verdana" w:hAnsi="Verdana"/>
          <w:color w:val="008C98"/>
          <w:sz w:val="16"/>
          <w:szCs w:val="16"/>
        </w:rPr>
        <w:t>H</w:t>
      </w:r>
      <w:r>
        <w:rPr>
          <w:rStyle w:val="jsgrdq"/>
          <w:rFonts w:ascii="Verdana" w:hAnsi="Verdana"/>
          <w:color w:val="008C98"/>
          <w:sz w:val="16"/>
          <w:szCs w:val="16"/>
        </w:rPr>
        <w:t>ommes/ URPS CD Occitanie –</w:t>
      </w:r>
      <w:r w:rsidR="007A1DBC">
        <w:rPr>
          <w:rStyle w:val="jsgrdq"/>
          <w:rFonts w:ascii="Verdana" w:hAnsi="Verdana"/>
          <w:color w:val="008C98"/>
          <w:sz w:val="16"/>
          <w:szCs w:val="16"/>
        </w:rPr>
        <w:t>Nov.20</w:t>
      </w:r>
      <w:r>
        <w:rPr>
          <w:rStyle w:val="jsgrdq"/>
          <w:rFonts w:ascii="Verdana" w:hAnsi="Verdana"/>
          <w:color w:val="008C98"/>
          <w:sz w:val="16"/>
          <w:szCs w:val="16"/>
        </w:rPr>
        <w:t>22</w:t>
      </w:r>
    </w:p>
    <w:sectPr w:rsidR="00971CCF">
      <w:pgSz w:w="16838" w:h="11906" w:orient="landscape"/>
      <w:pgMar w:top="567" w:right="567" w:bottom="567" w:left="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A10B" w14:textId="77777777" w:rsidR="00B95976" w:rsidRDefault="00B95976">
      <w:r>
        <w:separator/>
      </w:r>
    </w:p>
  </w:endnote>
  <w:endnote w:type="continuationSeparator" w:id="0">
    <w:p w14:paraId="0E198F8C" w14:textId="77777777" w:rsidR="00B95976" w:rsidRDefault="00B9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8A41" w14:textId="77777777" w:rsidR="00B95976" w:rsidRDefault="00B95976">
      <w:r>
        <w:rPr>
          <w:color w:val="000000"/>
        </w:rPr>
        <w:separator/>
      </w:r>
    </w:p>
  </w:footnote>
  <w:footnote w:type="continuationSeparator" w:id="0">
    <w:p w14:paraId="6DF06395" w14:textId="77777777" w:rsidR="00B95976" w:rsidRDefault="00B9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F"/>
    <w:rsid w:val="0013539B"/>
    <w:rsid w:val="001979CD"/>
    <w:rsid w:val="007A1DBC"/>
    <w:rsid w:val="00971CCF"/>
    <w:rsid w:val="00A679CB"/>
    <w:rsid w:val="00B65664"/>
    <w:rsid w:val="00B95976"/>
    <w:rsid w:val="00D70064"/>
    <w:rsid w:val="00FF2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C494"/>
  <w15:docId w15:val="{9E63CA8C-FF19-4BBF-81ED-5490535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jsgrdq">
    <w:name w:val="jsgrdq"/>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3629</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hebrard</dc:creator>
  <cp:lastModifiedBy>Julie Alseda</cp:lastModifiedBy>
  <cp:revision>6</cp:revision>
  <dcterms:created xsi:type="dcterms:W3CDTF">2022-11-15T15:10:00Z</dcterms:created>
  <dcterms:modified xsi:type="dcterms:W3CDTF">2022-11-16T09:14:00Z</dcterms:modified>
</cp:coreProperties>
</file>